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/>
    <w:p/>
    <w:p/>
    <w:p/>
    <w:p>
      <w:pPr>
        <w:jc w:val="center"/>
        <w:rPr>
          <w:rFonts w:hint="eastAsia" w:asciiTheme="majorEastAsia" w:hAnsiTheme="majorEastAsia" w:eastAsiaTheme="majorEastAsia" w:cstheme="majorEastAsia"/>
          <w:b/>
          <w:bCs/>
          <w:sz w:val="72"/>
          <w:szCs w:val="72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/>
          <w:bCs/>
          <w:sz w:val="72"/>
          <w:szCs w:val="72"/>
          <w:lang w:val="en-US" w:eastAsia="zh-CN"/>
        </w:rPr>
        <w:t>学生工作平台</w:t>
      </w:r>
    </w:p>
    <w:p>
      <w:pPr>
        <w:jc w:val="center"/>
        <w:rPr>
          <w:rFonts w:hint="eastAsia" w:asciiTheme="majorEastAsia" w:hAnsiTheme="majorEastAsia" w:eastAsiaTheme="majorEastAsia" w:cstheme="majorEastAsia"/>
          <w:b/>
          <w:bCs/>
          <w:sz w:val="72"/>
          <w:szCs w:val="72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/>
          <w:bCs/>
          <w:sz w:val="72"/>
          <w:szCs w:val="72"/>
          <w:lang w:val="en-US" w:eastAsia="zh-CN"/>
        </w:rPr>
        <w:t>助学金操作手册</w:t>
      </w:r>
    </w:p>
    <w:p>
      <w:pPr>
        <w:jc w:val="center"/>
        <w:rPr>
          <w:rFonts w:hint="eastAsia" w:asciiTheme="majorEastAsia" w:hAnsiTheme="majorEastAsia" w:eastAsiaTheme="majorEastAsia" w:cstheme="majorEastAsia"/>
          <w:b/>
          <w:bCs/>
          <w:sz w:val="72"/>
          <w:szCs w:val="72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/>
          <w:bCs/>
          <w:sz w:val="72"/>
          <w:szCs w:val="72"/>
          <w:lang w:val="en-US" w:eastAsia="zh-CN"/>
        </w:rPr>
        <w:t>（学生）</w:t>
      </w:r>
    </w:p>
    <w:p>
      <w:pPr>
        <w:jc w:val="center"/>
        <w:rPr>
          <w:rFonts w:hint="eastAsia" w:asciiTheme="majorEastAsia" w:hAnsiTheme="majorEastAsia" w:eastAsiaTheme="majorEastAsia" w:cstheme="majorEastAsia"/>
          <w:b/>
          <w:bCs/>
          <w:sz w:val="72"/>
          <w:szCs w:val="72"/>
          <w:lang w:val="en-US" w:eastAsia="zh-CN"/>
        </w:rPr>
      </w:pPr>
    </w:p>
    <w:p>
      <w:pPr>
        <w:jc w:val="center"/>
        <w:rPr>
          <w:rFonts w:hint="eastAsia" w:asciiTheme="majorEastAsia" w:hAnsiTheme="majorEastAsia" w:eastAsiaTheme="majorEastAsia" w:cstheme="majorEastAsia"/>
          <w:b/>
          <w:bCs/>
          <w:sz w:val="72"/>
          <w:szCs w:val="72"/>
          <w:lang w:val="en-US" w:eastAsia="zh-CN"/>
        </w:rPr>
      </w:pPr>
    </w:p>
    <w:p>
      <w:pPr>
        <w:jc w:val="center"/>
        <w:rPr>
          <w:rFonts w:hint="eastAsia" w:asciiTheme="majorEastAsia" w:hAnsiTheme="majorEastAsia" w:eastAsiaTheme="majorEastAsia" w:cstheme="majorEastAsia"/>
          <w:b/>
          <w:bCs/>
          <w:sz w:val="72"/>
          <w:szCs w:val="72"/>
          <w:lang w:val="en-US" w:eastAsia="zh-CN"/>
        </w:rPr>
      </w:pPr>
    </w:p>
    <w:sdt>
      <w:sdtPr>
        <w:rPr>
          <w:rFonts w:ascii="宋体" w:hAnsi="宋体" w:eastAsia="宋体" w:cstheme="minorBidi"/>
          <w:kern w:val="2"/>
          <w:sz w:val="21"/>
          <w:szCs w:val="24"/>
          <w:lang w:val="en-US" w:eastAsia="zh-CN" w:bidi="ar-SA"/>
        </w:rPr>
        <w:id w:val="147451727"/>
        <w15:color w:val="DBDBDB"/>
        <w:docPartObj>
          <w:docPartGallery w:val="Table of Contents"/>
          <w:docPartUnique/>
        </w:docPartObj>
      </w:sdtPr>
      <w:sdtEndPr>
        <w:rPr>
          <w:rFonts w:hint="eastAsia" w:asciiTheme="majorEastAsia" w:hAnsiTheme="majorEastAsia" w:eastAsiaTheme="majorEastAsia" w:cstheme="majorEastAsia"/>
          <w:b/>
          <w:bCs/>
          <w:kern w:val="2"/>
          <w:sz w:val="21"/>
          <w:szCs w:val="72"/>
          <w:lang w:val="en-US" w:eastAsia="zh-CN" w:bidi="ar-SA"/>
        </w:rPr>
      </w:sdtEndPr>
      <w:sdtContent>
        <w:p>
          <w:pPr>
            <w:spacing w:before="0" w:beforeLines="0" w:after="0" w:afterLines="0" w:line="240" w:lineRule="auto"/>
            <w:ind w:left="0" w:leftChars="0" w:right="0" w:rightChars="0" w:firstLine="0" w:firstLineChars="0"/>
            <w:jc w:val="center"/>
          </w:pPr>
          <w:r>
            <w:rPr>
              <w:rFonts w:ascii="宋体" w:hAnsi="宋体" w:eastAsia="宋体"/>
              <w:sz w:val="21"/>
            </w:rPr>
            <w:t>目录</w:t>
          </w:r>
        </w:p>
        <w:p>
          <w:pPr>
            <w:pStyle w:val="12"/>
            <w:tabs>
              <w:tab w:val="right" w:leader="dot" w:pos="8306"/>
            </w:tabs>
          </w:pPr>
          <w:r>
            <w:rPr>
              <w:rFonts w:hint="eastAsia" w:asciiTheme="majorEastAsia" w:hAnsiTheme="majorEastAsia" w:eastAsiaTheme="majorEastAsia" w:cstheme="majorEastAsia"/>
              <w:b/>
              <w:bCs/>
              <w:sz w:val="72"/>
              <w:szCs w:val="72"/>
              <w:lang w:val="en-US" w:eastAsia="zh-CN"/>
            </w:rPr>
            <w:fldChar w:fldCharType="begin"/>
          </w:r>
          <w:r>
            <w:rPr>
              <w:rFonts w:hint="eastAsia" w:asciiTheme="majorEastAsia" w:hAnsiTheme="majorEastAsia" w:eastAsiaTheme="majorEastAsia" w:cstheme="majorEastAsia"/>
              <w:b/>
              <w:bCs/>
              <w:sz w:val="72"/>
              <w:szCs w:val="72"/>
              <w:lang w:val="en-US" w:eastAsia="zh-CN"/>
            </w:rPr>
            <w:instrText xml:space="preserve">TOC \o "1-2" \h \u </w:instrText>
          </w:r>
          <w:r>
            <w:rPr>
              <w:rFonts w:hint="eastAsia" w:asciiTheme="majorEastAsia" w:hAnsiTheme="majorEastAsia" w:eastAsiaTheme="majorEastAsia" w:cstheme="majorEastAsia"/>
              <w:b/>
              <w:bCs/>
              <w:sz w:val="72"/>
              <w:szCs w:val="72"/>
              <w:lang w:val="en-US" w:eastAsia="zh-CN"/>
            </w:rPr>
            <w:fldChar w:fldCharType="separate"/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begin"/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instrText xml:space="preserve"> HYPERLINK \l _Toc30308 </w:instrText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separate"/>
          </w:r>
          <w:r>
            <w:rPr>
              <w:rFonts w:hint="default"/>
              <w:lang w:val="en-US" w:eastAsia="zh-CN"/>
            </w:rPr>
            <w:t xml:space="preserve">1. </w:t>
          </w:r>
          <w:r>
            <w:rPr>
              <w:rFonts w:hint="eastAsia"/>
              <w:lang w:val="en-US" w:eastAsia="zh-CN"/>
            </w:rPr>
            <w:t>功能概述</w:t>
          </w:r>
          <w:r>
            <w:tab/>
          </w:r>
          <w:r>
            <w:fldChar w:fldCharType="begin"/>
          </w:r>
          <w:r>
            <w:instrText xml:space="preserve"> PAGEREF _Toc30308 \h </w:instrText>
          </w:r>
          <w:r>
            <w:fldChar w:fldCharType="separate"/>
          </w:r>
          <w:r>
            <w:t>2</w:t>
          </w:r>
          <w:r>
            <w:fldChar w:fldCharType="end"/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end"/>
          </w:r>
        </w:p>
        <w:p>
          <w:pPr>
            <w:pStyle w:val="13"/>
            <w:tabs>
              <w:tab w:val="right" w:leader="dot" w:pos="8306"/>
            </w:tabs>
          </w:pP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begin"/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instrText xml:space="preserve"> HYPERLINK \l _Toc13072 </w:instrText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separate"/>
          </w:r>
          <w:r>
            <w:rPr>
              <w:rFonts w:hint="default"/>
              <w:lang w:val="en-US" w:eastAsia="zh-CN"/>
            </w:rPr>
            <w:t xml:space="preserve">1.1. </w:t>
          </w:r>
          <w:r>
            <w:rPr>
              <w:rFonts w:hint="eastAsia"/>
              <w:lang w:val="en-US" w:eastAsia="zh-CN"/>
            </w:rPr>
            <w:t>国家助学金</w:t>
          </w:r>
          <w:r>
            <w:tab/>
          </w:r>
          <w:r>
            <w:fldChar w:fldCharType="begin"/>
          </w:r>
          <w:r>
            <w:instrText xml:space="preserve"> PAGEREF _Toc13072 \h </w:instrText>
          </w:r>
          <w:r>
            <w:fldChar w:fldCharType="separate"/>
          </w:r>
          <w:r>
            <w:t>2</w:t>
          </w:r>
          <w:r>
            <w:fldChar w:fldCharType="end"/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end"/>
          </w:r>
        </w:p>
        <w:p>
          <w:pPr>
            <w:pStyle w:val="13"/>
            <w:tabs>
              <w:tab w:val="right" w:leader="dot" w:pos="8306"/>
            </w:tabs>
          </w:pP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begin"/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instrText xml:space="preserve"> HYPERLINK \l _Toc16998 </w:instrText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separate"/>
          </w:r>
          <w:r>
            <w:rPr>
              <w:rFonts w:hint="default"/>
              <w:lang w:val="en-US" w:eastAsia="zh-CN"/>
            </w:rPr>
            <w:t xml:space="preserve">1.2. </w:t>
          </w:r>
          <w:r>
            <w:rPr>
              <w:rFonts w:hint="eastAsia"/>
              <w:lang w:val="en-US" w:eastAsia="zh-CN"/>
            </w:rPr>
            <w:t>毕业生基层就业、自主创业助学金</w:t>
          </w:r>
          <w:r>
            <w:tab/>
          </w:r>
          <w:r>
            <w:fldChar w:fldCharType="begin"/>
          </w:r>
          <w:r>
            <w:instrText xml:space="preserve"> PAGEREF _Toc16998 \h </w:instrText>
          </w:r>
          <w:r>
            <w:fldChar w:fldCharType="separate"/>
          </w:r>
          <w:r>
            <w:t>2</w:t>
          </w:r>
          <w:r>
            <w:fldChar w:fldCharType="end"/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end"/>
          </w:r>
        </w:p>
        <w:p>
          <w:pPr>
            <w:pStyle w:val="12"/>
            <w:tabs>
              <w:tab w:val="right" w:leader="dot" w:pos="8306"/>
            </w:tabs>
          </w:pP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begin"/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instrText xml:space="preserve"> HYPERLINK \l _Toc12677 </w:instrText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separate"/>
          </w:r>
          <w:r>
            <w:rPr>
              <w:rFonts w:hint="default"/>
              <w:lang w:val="en-US" w:eastAsia="zh-CN"/>
            </w:rPr>
            <w:t xml:space="preserve">2. </w:t>
          </w:r>
          <w:r>
            <w:rPr>
              <w:rFonts w:hint="eastAsia"/>
              <w:lang w:val="en-US" w:eastAsia="zh-CN"/>
            </w:rPr>
            <w:t>手机申请助学金</w:t>
          </w:r>
          <w:r>
            <w:tab/>
          </w:r>
          <w:r>
            <w:fldChar w:fldCharType="begin"/>
          </w:r>
          <w:r>
            <w:instrText xml:space="preserve"> PAGEREF _Toc12677 \h </w:instrText>
          </w:r>
          <w:r>
            <w:fldChar w:fldCharType="separate"/>
          </w:r>
          <w:r>
            <w:t>2</w:t>
          </w:r>
          <w:r>
            <w:fldChar w:fldCharType="end"/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end"/>
          </w:r>
        </w:p>
        <w:p>
          <w:pPr>
            <w:pStyle w:val="13"/>
            <w:tabs>
              <w:tab w:val="right" w:leader="dot" w:pos="8306"/>
            </w:tabs>
          </w:pP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begin"/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instrText xml:space="preserve"> HYPERLINK \l _Toc1327 </w:instrText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separate"/>
          </w:r>
          <w:r>
            <w:rPr>
              <w:rFonts w:hint="default"/>
              <w:lang w:val="en-US" w:eastAsia="zh-CN"/>
            </w:rPr>
            <w:t xml:space="preserve">2.1. </w:t>
          </w:r>
          <w:r>
            <w:rPr>
              <w:rFonts w:hint="eastAsia"/>
              <w:lang w:val="en-US" w:eastAsia="zh-CN"/>
            </w:rPr>
            <w:t>申请助学金</w:t>
          </w:r>
          <w:r>
            <w:tab/>
          </w:r>
          <w:r>
            <w:fldChar w:fldCharType="begin"/>
          </w:r>
          <w:r>
            <w:instrText xml:space="preserve"> PAGEREF _Toc1327 \h </w:instrText>
          </w:r>
          <w:r>
            <w:fldChar w:fldCharType="separate"/>
          </w:r>
          <w:r>
            <w:t>2</w:t>
          </w:r>
          <w:r>
            <w:fldChar w:fldCharType="end"/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end"/>
          </w:r>
        </w:p>
        <w:p>
          <w:pPr>
            <w:pStyle w:val="13"/>
            <w:tabs>
              <w:tab w:val="right" w:leader="dot" w:pos="8306"/>
            </w:tabs>
          </w:pP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begin"/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instrText xml:space="preserve"> HYPERLINK \l _Toc32208 </w:instrText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separate"/>
          </w:r>
          <w:r>
            <w:rPr>
              <w:rFonts w:hint="default"/>
              <w:lang w:val="en-US" w:eastAsia="zh-CN"/>
            </w:rPr>
            <w:t xml:space="preserve">2.2. </w:t>
          </w:r>
          <w:r>
            <w:rPr>
              <w:rFonts w:hint="eastAsia"/>
              <w:lang w:val="en-US" w:eastAsia="zh-CN"/>
            </w:rPr>
            <w:t>撤回申请</w:t>
          </w:r>
          <w:r>
            <w:tab/>
          </w:r>
          <w:r>
            <w:fldChar w:fldCharType="begin"/>
          </w:r>
          <w:r>
            <w:instrText xml:space="preserve"> PAGEREF _Toc32208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end"/>
          </w:r>
        </w:p>
        <w:p>
          <w:pPr>
            <w:pStyle w:val="13"/>
            <w:tabs>
              <w:tab w:val="right" w:leader="dot" w:pos="8306"/>
            </w:tabs>
          </w:pP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begin"/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instrText xml:space="preserve"> HYPERLINK \l _Toc29952 </w:instrText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separate"/>
          </w:r>
          <w:r>
            <w:rPr>
              <w:rFonts w:hint="default"/>
              <w:lang w:val="en-US" w:eastAsia="zh-CN"/>
            </w:rPr>
            <w:t xml:space="preserve">2.3. </w:t>
          </w:r>
          <w:r>
            <w:rPr>
              <w:rFonts w:hint="eastAsia"/>
              <w:lang w:val="en-US" w:eastAsia="zh-CN"/>
            </w:rPr>
            <w:t>查看学校审核情况</w:t>
          </w:r>
          <w:r>
            <w:tab/>
          </w:r>
          <w:r>
            <w:fldChar w:fldCharType="begin"/>
          </w:r>
          <w:r>
            <w:instrText xml:space="preserve"> PAGEREF _Toc29952 \h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end"/>
          </w:r>
        </w:p>
        <w:p>
          <w:pPr>
            <w:pStyle w:val="12"/>
            <w:tabs>
              <w:tab w:val="right" w:leader="dot" w:pos="8306"/>
            </w:tabs>
          </w:pP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begin"/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instrText xml:space="preserve"> HYPERLINK \l _Toc30817 </w:instrText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separate"/>
          </w:r>
          <w:r>
            <w:rPr>
              <w:rFonts w:hint="default"/>
              <w:lang w:val="en-US" w:eastAsia="zh-CN"/>
            </w:rPr>
            <w:t xml:space="preserve">3. </w:t>
          </w:r>
          <w:r>
            <w:rPr>
              <w:rFonts w:hint="eastAsia"/>
              <w:lang w:val="en-US" w:eastAsia="zh-CN"/>
            </w:rPr>
            <w:t>电脑申请助学金</w:t>
          </w:r>
          <w:r>
            <w:tab/>
          </w:r>
          <w:r>
            <w:fldChar w:fldCharType="begin"/>
          </w:r>
          <w:r>
            <w:instrText xml:space="preserve"> PAGEREF _Toc30817 \h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end"/>
          </w:r>
        </w:p>
        <w:p>
          <w:pPr>
            <w:pStyle w:val="13"/>
            <w:tabs>
              <w:tab w:val="right" w:leader="dot" w:pos="8306"/>
            </w:tabs>
          </w:pP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begin"/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instrText xml:space="preserve"> HYPERLINK \l _Toc20191 </w:instrText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separate"/>
          </w:r>
          <w:r>
            <w:rPr>
              <w:rFonts w:hint="default"/>
              <w:lang w:val="en-US" w:eastAsia="zh-CN"/>
            </w:rPr>
            <w:t xml:space="preserve">3.1. </w:t>
          </w:r>
          <w:r>
            <w:rPr>
              <w:rFonts w:hint="eastAsia"/>
              <w:lang w:val="en-US" w:eastAsia="zh-CN"/>
            </w:rPr>
            <w:t>助学金申请</w:t>
          </w:r>
          <w:r>
            <w:tab/>
          </w:r>
          <w:r>
            <w:fldChar w:fldCharType="begin"/>
          </w:r>
          <w:r>
            <w:instrText xml:space="preserve"> PAGEREF _Toc20191 \h </w:instrText>
          </w:r>
          <w:r>
            <w:fldChar w:fldCharType="separate"/>
          </w:r>
          <w:r>
            <w:t>8</w:t>
          </w:r>
          <w:r>
            <w:fldChar w:fldCharType="end"/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end"/>
          </w:r>
        </w:p>
        <w:p>
          <w:pPr>
            <w:jc w:val="center"/>
            <w:rPr>
              <w:rFonts w:hint="eastAsia" w:asciiTheme="majorEastAsia" w:hAnsiTheme="majorEastAsia" w:eastAsiaTheme="majorEastAsia" w:cstheme="majorEastAsia"/>
              <w:b/>
              <w:bCs/>
              <w:sz w:val="72"/>
              <w:szCs w:val="72"/>
              <w:lang w:val="en-US" w:eastAsia="zh-CN"/>
            </w:rPr>
          </w:pP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end"/>
          </w:r>
        </w:p>
      </w:sdtContent>
    </w:sdt>
    <w:p>
      <w:pPr>
        <w:jc w:val="center"/>
        <w:rPr>
          <w:rFonts w:hint="eastAsia" w:asciiTheme="majorEastAsia" w:hAnsiTheme="majorEastAsia" w:eastAsiaTheme="majorEastAsia" w:cstheme="majorEastAsia"/>
          <w:b/>
          <w:bCs/>
          <w:sz w:val="72"/>
          <w:szCs w:val="72"/>
          <w:lang w:val="en-US" w:eastAsia="zh-CN"/>
        </w:rPr>
      </w:pPr>
    </w:p>
    <w:p>
      <w:pPr>
        <w:jc w:val="center"/>
        <w:rPr>
          <w:rFonts w:hint="eastAsia" w:asciiTheme="majorEastAsia" w:hAnsiTheme="majorEastAsia" w:eastAsiaTheme="majorEastAsia" w:cstheme="majorEastAsia"/>
          <w:b/>
          <w:bCs/>
          <w:sz w:val="72"/>
          <w:szCs w:val="72"/>
          <w:lang w:val="en-US" w:eastAsia="zh-CN"/>
        </w:rPr>
      </w:pPr>
    </w:p>
    <w:p>
      <w:pPr>
        <w:jc w:val="center"/>
        <w:rPr>
          <w:rFonts w:hint="eastAsia" w:asciiTheme="majorEastAsia" w:hAnsiTheme="majorEastAsia" w:eastAsiaTheme="majorEastAsia" w:cstheme="majorEastAsia"/>
          <w:b/>
          <w:bCs/>
          <w:sz w:val="72"/>
          <w:szCs w:val="72"/>
          <w:lang w:val="en-US" w:eastAsia="zh-CN"/>
        </w:rPr>
      </w:pPr>
    </w:p>
    <w:p>
      <w:pPr>
        <w:jc w:val="left"/>
        <w:rPr>
          <w:rFonts w:hint="eastAsia" w:asciiTheme="minorEastAsia" w:hAnsiTheme="minorEastAsia" w:eastAsiaTheme="minorEastAsia" w:cstheme="minorEastAsia"/>
          <w:b/>
          <w:bCs/>
          <w:sz w:val="21"/>
          <w:szCs w:val="21"/>
          <w:lang w:val="en-US" w:eastAsia="zh-CN"/>
        </w:rPr>
      </w:pPr>
    </w:p>
    <w:p>
      <w:pPr>
        <w:pStyle w:val="2"/>
        <w:bidi w:val="0"/>
        <w:ind w:left="432" w:leftChars="0" w:hanging="432" w:firstLineChars="0"/>
        <w:rPr>
          <w:rFonts w:hint="default"/>
          <w:lang w:val="en-US" w:eastAsia="zh-CN"/>
        </w:rPr>
      </w:pPr>
      <w:bookmarkStart w:id="0" w:name="_Toc30308"/>
      <w:r>
        <w:rPr>
          <w:rFonts w:hint="eastAsia"/>
          <w:lang w:val="en-US" w:eastAsia="zh-CN"/>
        </w:rPr>
        <w:t>功能概述</w:t>
      </w:r>
      <w:bookmarkEnd w:id="0"/>
    </w:p>
    <w:p>
      <w:pPr>
        <w:numPr>
          <w:ilvl w:val="0"/>
          <w:numId w:val="0"/>
        </w:numPr>
        <w:ind w:leftChars="0"/>
        <w:outlineLvl w:val="9"/>
        <w:rPr>
          <w:rFonts w:hint="default" w:ascii="宋体" w:hAnsi="宋体" w:cs="宋体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宋体" w:hAnsi="宋体" w:cs="宋体"/>
          <w:b w:val="0"/>
          <w:bCs w:val="0"/>
          <w:sz w:val="21"/>
          <w:szCs w:val="21"/>
          <w:lang w:val="en-US" w:eastAsia="zh-CN"/>
        </w:rPr>
        <w:t>在系统中进行申请的助学金有国家助学金和毕业生基层就业、自主创业助学金两个。</w:t>
      </w:r>
    </w:p>
    <w:p>
      <w:pPr>
        <w:pStyle w:val="3"/>
        <w:bidi w:val="0"/>
        <w:ind w:left="575" w:leftChars="0" w:hanging="575" w:firstLineChars="0"/>
        <w:rPr>
          <w:rFonts w:hint="default"/>
          <w:lang w:val="en-US" w:eastAsia="zh-CN"/>
        </w:rPr>
      </w:pPr>
      <w:bookmarkStart w:id="1" w:name="_Toc13072"/>
      <w:r>
        <w:rPr>
          <w:rFonts w:hint="eastAsia"/>
          <w:lang w:val="en-US" w:eastAsia="zh-CN"/>
        </w:rPr>
        <w:t>国家助学金</w:t>
      </w:r>
      <w:bookmarkEnd w:id="1"/>
    </w:p>
    <w:p>
      <w:pPr>
        <w:ind w:firstLine="420" w:firstLineChars="200"/>
        <w:rPr>
          <w:rFonts w:hint="eastAsia" w:ascii="宋体" w:hAnsi="宋体" w:cs="宋体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  <w:t>面向全校本科生，需要满足家庭经济困难、上学年考试无不及格、无处分等条件；</w:t>
      </w:r>
      <w:r>
        <w:rPr>
          <w:rFonts w:hint="eastAsia" w:ascii="宋体" w:hAnsi="宋体" w:cs="宋体"/>
          <w:b w:val="0"/>
          <w:bCs w:val="0"/>
          <w:sz w:val="21"/>
          <w:szCs w:val="21"/>
          <w:lang w:val="en-US" w:eastAsia="zh-CN"/>
        </w:rPr>
        <w:t>分为一、二、三等。学生只能申请其中一个，一旦提交，就无法再申请其他等级；</w:t>
      </w:r>
    </w:p>
    <w:p>
      <w:pPr>
        <w:ind w:firstLine="420" w:firstLineChars="200"/>
        <w:rPr>
          <w:rFonts w:hint="default" w:ascii="宋体" w:hAnsi="宋体" w:eastAsia="宋体" w:cs="宋体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宋体" w:hAnsi="宋体" w:cs="宋体"/>
          <w:b w:val="0"/>
          <w:bCs w:val="0"/>
          <w:sz w:val="21"/>
          <w:szCs w:val="21"/>
          <w:lang w:val="en-US" w:eastAsia="zh-CN"/>
        </w:rPr>
        <w:t>学生提交后，需要辅导员审核→学院资助专管辅导员审核→学院资助分管领导审核→学校审核。</w:t>
      </w:r>
    </w:p>
    <w:p>
      <w:pPr>
        <w:pStyle w:val="3"/>
        <w:bidi w:val="0"/>
        <w:ind w:left="575" w:leftChars="0" w:hanging="575" w:firstLineChars="0"/>
        <w:rPr>
          <w:rFonts w:hint="eastAsia"/>
          <w:lang w:val="en-US" w:eastAsia="zh-CN"/>
        </w:rPr>
      </w:pPr>
      <w:bookmarkStart w:id="2" w:name="_Toc16998"/>
      <w:r>
        <w:rPr>
          <w:rFonts w:hint="eastAsia"/>
          <w:lang w:val="en-US" w:eastAsia="zh-CN"/>
        </w:rPr>
        <w:t>毕业生基层就业、自主创业助学金</w:t>
      </w:r>
      <w:bookmarkEnd w:id="2"/>
    </w:p>
    <w:p>
      <w:pPr>
        <w:numPr>
          <w:ilvl w:val="0"/>
          <w:numId w:val="0"/>
        </w:numPr>
        <w:ind w:firstLine="420" w:firstLineChars="200"/>
        <w:rPr>
          <w:rFonts w:hint="default" w:ascii="宋体" w:hAnsi="宋体" w:eastAsia="宋体" w:cs="宋体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宋体" w:hAnsi="宋体" w:cs="宋体"/>
          <w:b w:val="0"/>
          <w:bCs w:val="0"/>
          <w:sz w:val="21"/>
          <w:szCs w:val="21"/>
          <w:lang w:val="en-US" w:eastAsia="zh-CN"/>
        </w:rPr>
        <w:t>应届毕业生申请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eastAsia" w:ascii="宋体" w:hAnsi="宋体" w:cs="宋体"/>
          <w:b w:val="0"/>
          <w:bCs w:val="0"/>
          <w:sz w:val="21"/>
          <w:szCs w:val="21"/>
          <w:lang w:val="en-US" w:eastAsia="zh-CN"/>
        </w:rPr>
        <w:t>学生提交后，需要学院资助专管辅导员审核→学院资助分管领导审核→学校审核。</w:t>
      </w:r>
    </w:p>
    <w:p>
      <w:pPr>
        <w:jc w:val="left"/>
        <w:rPr>
          <w:rFonts w:hint="eastAsia" w:asciiTheme="minorEastAsia" w:hAnsiTheme="minorEastAsia" w:eastAsiaTheme="minorEastAsia" w:cstheme="minorEastAsia"/>
          <w:b/>
          <w:bCs/>
          <w:sz w:val="21"/>
          <w:szCs w:val="21"/>
          <w:lang w:val="en-US" w:eastAsia="zh-CN"/>
        </w:rPr>
      </w:pPr>
    </w:p>
    <w:p>
      <w:pPr>
        <w:pStyle w:val="2"/>
        <w:bidi w:val="0"/>
        <w:ind w:left="432" w:leftChars="0" w:hanging="432" w:firstLineChars="0"/>
        <w:rPr>
          <w:rFonts w:hint="eastAsia"/>
          <w:lang w:val="en-US" w:eastAsia="zh-CN"/>
        </w:rPr>
      </w:pPr>
      <w:bookmarkStart w:id="3" w:name="_Toc12677"/>
      <w:r>
        <w:rPr>
          <w:rFonts w:hint="eastAsia"/>
          <w:lang w:val="en-US" w:eastAsia="zh-CN"/>
        </w:rPr>
        <w:t>手机申请助学金</w:t>
      </w:r>
      <w:bookmarkEnd w:id="3"/>
    </w:p>
    <w:p>
      <w:pPr>
        <w:pStyle w:val="3"/>
        <w:bidi w:val="0"/>
        <w:ind w:left="575" w:leftChars="0" w:hanging="575" w:firstLineChars="0"/>
        <w:rPr>
          <w:rFonts w:hint="default"/>
          <w:lang w:val="en-US" w:eastAsia="zh-CN"/>
        </w:rPr>
      </w:pPr>
      <w:bookmarkStart w:id="4" w:name="_Toc1327"/>
      <w:r>
        <w:rPr>
          <w:rFonts w:hint="eastAsia"/>
          <w:lang w:val="en-US" w:eastAsia="zh-CN"/>
        </w:rPr>
        <w:t>申请助学金</w:t>
      </w:r>
      <w:bookmarkEnd w:id="4"/>
    </w:p>
    <w:p>
      <w:pPr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打开今日校园，点击服务，找到【助学金】点击进入。</w:t>
      </w:r>
    </w:p>
    <w:p>
      <w:pPr>
        <w:jc w:val="left"/>
        <w:rPr>
          <w:rFonts w:hint="eastAsia"/>
          <w:lang w:val="en-US" w:eastAsia="zh-CN"/>
        </w:rPr>
      </w:pPr>
      <w:r>
        <w:drawing>
          <wp:inline distT="0" distB="0" distL="114300" distR="114300">
            <wp:extent cx="2219325" cy="3210560"/>
            <wp:effectExtent l="0" t="0" r="9525" b="8890"/>
            <wp:docPr id="6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219325" cy="3210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学生在申请时间内申请助学金，可能有时候只开放了毕业生基层就业、自主创业奖励</w:t>
      </w:r>
    </w:p>
    <w:p>
      <w:pPr>
        <w:jc w:val="left"/>
        <w:rPr>
          <w:rFonts w:hint="eastAsia"/>
          <w:lang w:val="en-US" w:eastAsia="zh-CN"/>
        </w:rPr>
      </w:pPr>
      <w:r>
        <w:drawing>
          <wp:inline distT="0" distB="0" distL="114300" distR="114300">
            <wp:extent cx="2413635" cy="3131820"/>
            <wp:effectExtent l="0" t="0" r="5715" b="11430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13635" cy="3131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default"/>
          <w:lang w:val="en-US"/>
        </w:rPr>
      </w:pPr>
      <w:r>
        <w:rPr>
          <w:rFonts w:hint="eastAsia"/>
          <w:lang w:val="en-US" w:eastAsia="zh-CN"/>
        </w:rPr>
        <w:t>有时候只开放了国家助学金</w:t>
      </w:r>
    </w:p>
    <w:p>
      <w:pPr>
        <w:jc w:val="left"/>
      </w:pP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2224405" cy="3226435"/>
            <wp:effectExtent l="0" t="0" r="4445" b="12065"/>
            <wp:docPr id="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224405" cy="3226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default"/>
          <w:lang w:val="en-US" w:eastAsia="zh-CN"/>
        </w:rPr>
      </w:pPr>
    </w:p>
    <w:p>
      <w:pPr>
        <w:jc w:val="both"/>
        <w:rPr>
          <w:rFonts w:hint="default" w:asciiTheme="majorEastAsia" w:hAnsiTheme="majorEastAsia" w:eastAsiaTheme="majorEastAsia" w:cstheme="majorEastAsia"/>
          <w:b/>
          <w:bCs/>
          <w:sz w:val="21"/>
          <w:szCs w:val="21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/>
          <w:bCs/>
          <w:sz w:val="21"/>
          <w:szCs w:val="21"/>
          <w:lang w:val="en-US" w:eastAsia="zh-CN"/>
        </w:rPr>
        <w:t>①奖项按学生是否满足资格条件分为可申请、不可申请、全部。目前国家助学金设置了条件无挂科、处分。</w:t>
      </w:r>
    </w:p>
    <w:p>
      <w:pPr>
        <w:jc w:val="both"/>
      </w:pPr>
      <w:r>
        <w:drawing>
          <wp:inline distT="0" distB="0" distL="114300" distR="114300">
            <wp:extent cx="2234565" cy="3199765"/>
            <wp:effectExtent l="0" t="0" r="13335" b="635"/>
            <wp:docPr id="8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234565" cy="3199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2179320" cy="3190875"/>
            <wp:effectExtent l="0" t="0" r="11430" b="9525"/>
            <wp:docPr id="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179320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both"/>
      </w:pPr>
    </w:p>
    <w:p>
      <w:pPr>
        <w:pStyle w:val="3"/>
        <w:bidi w:val="0"/>
        <w:ind w:left="575" w:leftChars="0" w:hanging="575" w:firstLineChars="0"/>
        <w:rPr>
          <w:rFonts w:hint="eastAsia"/>
          <w:lang w:val="en-US" w:eastAsia="zh-CN"/>
        </w:rPr>
      </w:pPr>
      <w:bookmarkStart w:id="5" w:name="_Toc32208"/>
      <w:r>
        <w:rPr>
          <w:rFonts w:hint="eastAsia"/>
          <w:lang w:val="en-US" w:eastAsia="zh-CN"/>
        </w:rPr>
        <w:t>撤回申请</w:t>
      </w:r>
      <w:bookmarkEnd w:id="5"/>
    </w:p>
    <w:p>
      <w:pPr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学生提交申请后，在辅导员审核之前，可以撤回。常见于下面的场景：</w:t>
      </w:r>
    </w:p>
    <w:p>
      <w:pPr>
        <w:numPr>
          <w:ilvl w:val="0"/>
          <w:numId w:val="2"/>
        </w:numPr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提交申请后发现部分内容填写有误；</w:t>
      </w:r>
    </w:p>
    <w:p>
      <w:pPr>
        <w:numPr>
          <w:ilvl w:val="0"/>
          <w:numId w:val="2"/>
        </w:numPr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撤回后可以申请不冲突的助学金。例如国家助学金一开始申请了三等，后来想重新申请二等，可以撤回后重新提交申请；</w:t>
      </w:r>
    </w:p>
    <w:p>
      <w:pPr>
        <w:numPr>
          <w:ilvl w:val="0"/>
          <w:numId w:val="2"/>
        </w:numPr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改主意不想申请，这种情况相对较少；</w:t>
      </w:r>
    </w:p>
    <w:p>
      <w:pPr>
        <w:numPr>
          <w:ilvl w:val="0"/>
          <w:numId w:val="0"/>
        </w:numPr>
        <w:jc w:val="both"/>
      </w:pPr>
      <w:r>
        <w:drawing>
          <wp:inline distT="0" distB="0" distL="114300" distR="114300">
            <wp:extent cx="2260600" cy="3190875"/>
            <wp:effectExtent l="0" t="0" r="6350" b="9525"/>
            <wp:docPr id="1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260600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2168525" cy="3216275"/>
            <wp:effectExtent l="0" t="0" r="3175" b="3175"/>
            <wp:docPr id="1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168525" cy="321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both"/>
      </w:pPr>
      <w:r>
        <w:drawing>
          <wp:inline distT="0" distB="0" distL="114300" distR="114300">
            <wp:extent cx="2251075" cy="3300095"/>
            <wp:effectExtent l="0" t="0" r="15875" b="14605"/>
            <wp:docPr id="1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251075" cy="3300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2233295" cy="3305810"/>
            <wp:effectExtent l="0" t="0" r="14605" b="8890"/>
            <wp:docPr id="16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233295" cy="3305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重新申请：修改申请表后再次提交申请；</w:t>
      </w:r>
    </w:p>
    <w:p>
      <w:pPr>
        <w:numPr>
          <w:ilvl w:val="0"/>
          <w:numId w:val="0"/>
        </w:numPr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删除：删除当前的申请表，重新提交申请；</w:t>
      </w:r>
    </w:p>
    <w:p>
      <w:pPr>
        <w:numPr>
          <w:ilvl w:val="0"/>
          <w:numId w:val="0"/>
        </w:numPr>
        <w:ind w:firstLine="420" w:firstLineChars="200"/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进行了第三步的撤回操作后，学生申请状态变成草稿，草稿状态下的申请可以修改后再次提交，也可以删除。</w:t>
      </w:r>
    </w:p>
    <w:p>
      <w:pPr>
        <w:numPr>
          <w:ilvl w:val="0"/>
          <w:numId w:val="0"/>
        </w:numPr>
        <w:ind w:firstLine="420" w:firstLineChars="200"/>
        <w:jc w:val="both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除了学生自己撤回，学校老师在审核过程中也可以进行退回操作。被退回的申请也是草稿状态，学生可以查看被退回的原因，修改后再次提交，也可以删除。</w:t>
      </w:r>
    </w:p>
    <w:p>
      <w:pPr>
        <w:numPr>
          <w:ilvl w:val="0"/>
          <w:numId w:val="0"/>
        </w:numPr>
        <w:jc w:val="both"/>
        <w:rPr>
          <w:rFonts w:hint="eastAsia" w:eastAsiaTheme="minorEastAsia"/>
          <w:lang w:val="en-US" w:eastAsia="zh-CN"/>
        </w:rPr>
      </w:pPr>
      <w:r>
        <w:drawing>
          <wp:inline distT="0" distB="0" distL="114300" distR="114300">
            <wp:extent cx="2360930" cy="3336925"/>
            <wp:effectExtent l="0" t="0" r="1270" b="15875"/>
            <wp:docPr id="19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360930" cy="333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2263140" cy="3343910"/>
            <wp:effectExtent l="0" t="0" r="3810" b="8890"/>
            <wp:docPr id="20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263140" cy="3343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jc w:val="both"/>
        <w:rPr>
          <w:rFonts w:hint="default"/>
          <w:lang w:val="en-US" w:eastAsia="zh-CN"/>
        </w:rPr>
      </w:pPr>
    </w:p>
    <w:p>
      <w:pPr>
        <w:pStyle w:val="3"/>
        <w:bidi w:val="0"/>
        <w:ind w:left="575" w:leftChars="0" w:hanging="575" w:firstLineChars="0"/>
        <w:rPr>
          <w:rFonts w:hint="eastAsia"/>
          <w:lang w:val="en-US" w:eastAsia="zh-CN"/>
        </w:rPr>
      </w:pPr>
      <w:bookmarkStart w:id="6" w:name="_Toc29952"/>
      <w:r>
        <w:rPr>
          <w:rFonts w:hint="eastAsia"/>
          <w:lang w:val="en-US" w:eastAsia="zh-CN"/>
        </w:rPr>
        <w:t>查看学校审核情况</w:t>
      </w:r>
      <w:bookmarkEnd w:id="6"/>
    </w:p>
    <w:p>
      <w:pPr>
        <w:numPr>
          <w:ilvl w:val="0"/>
          <w:numId w:val="0"/>
        </w:numPr>
        <w:ind w:firstLine="420" w:firstLineChars="200"/>
        <w:jc w:val="both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提交申请后，需要经过学校审核，比如国家助学金需要辅导员审核→学院审核→学校审核。学生可以查看申请当前到了哪个审核环节，以及最终的审核结果，比如通过、不通过等等。</w:t>
      </w:r>
    </w:p>
    <w:p>
      <w:pPr>
        <w:jc w:val="both"/>
        <w:rPr>
          <w:rFonts w:hint="default"/>
          <w:lang w:val="en-US" w:eastAsia="zh-CN"/>
        </w:rPr>
      </w:pPr>
      <w:r>
        <w:drawing>
          <wp:inline distT="0" distB="0" distL="114300" distR="114300">
            <wp:extent cx="2517775" cy="3513455"/>
            <wp:effectExtent l="0" t="0" r="15875" b="10795"/>
            <wp:docPr id="17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517775" cy="3513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2393950" cy="3535680"/>
            <wp:effectExtent l="0" t="0" r="6350" b="7620"/>
            <wp:docPr id="18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393950" cy="3535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both"/>
        <w:rPr>
          <w:rFonts w:hint="default"/>
          <w:lang w:val="en-US" w:eastAsia="zh-CN"/>
        </w:rPr>
      </w:pPr>
    </w:p>
    <w:p>
      <w:pPr>
        <w:pStyle w:val="2"/>
        <w:bidi w:val="0"/>
        <w:ind w:left="432" w:leftChars="0" w:hanging="432" w:firstLineChars="0"/>
        <w:rPr>
          <w:rFonts w:hint="eastAsia"/>
          <w:lang w:val="en-US" w:eastAsia="zh-CN"/>
        </w:rPr>
      </w:pPr>
      <w:bookmarkStart w:id="7" w:name="_Toc30817"/>
      <w:r>
        <w:rPr>
          <w:rFonts w:hint="eastAsia"/>
          <w:lang w:val="en-US" w:eastAsia="zh-CN"/>
        </w:rPr>
        <w:t>电脑申请助学金</w:t>
      </w:r>
      <w:bookmarkEnd w:id="7"/>
    </w:p>
    <w:p>
      <w:pPr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b w:val="0"/>
          <w:bCs/>
          <w:lang w:val="en-US" w:eastAsia="zh-CN"/>
        </w:rPr>
      </w:pPr>
      <w:r>
        <w:rPr>
          <w:rFonts w:ascii="宋体" w:hAnsi="宋体" w:eastAsia="宋体" w:cs="宋体"/>
          <w:sz w:val="24"/>
          <w:szCs w:val="24"/>
        </w:rPr>
        <w:t>电脑上浏览器访问链接</w:t>
      </w: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190500" cy="142875"/>
            <wp:effectExtent l="0" t="0" r="7620" b="9525"/>
            <wp:docPr id="10" name="图片 8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8" descr="IMG_25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sz w:val="24"/>
          <w:szCs w:val="24"/>
        </w:rPr>
        <w:t>http://ehallapp.swufe.edu.cn/</w:t>
      </w:r>
      <w:r>
        <w:rPr>
          <w:rFonts w:ascii="宋体" w:hAnsi="宋体" w:eastAsia="宋体" w:cs="宋体"/>
          <w:sz w:val="24"/>
          <w:szCs w:val="24"/>
        </w:rPr>
        <w:br w:type="textWrapping"/>
      </w:r>
      <w:r>
        <w:rPr>
          <w:rFonts w:ascii="宋体" w:hAnsi="宋体" w:eastAsia="宋体" w:cs="宋体"/>
          <w:sz w:val="24"/>
          <w:szCs w:val="24"/>
        </w:rPr>
        <w:t>建议使用谷歌浏览器、360急速浏览器、360安全浏览器、IE9-11。</w:t>
      </w:r>
      <w:r>
        <w:rPr>
          <w:rFonts w:ascii="宋体" w:hAnsi="宋体" w:eastAsia="宋体" w:cs="宋体"/>
          <w:sz w:val="24"/>
          <w:szCs w:val="24"/>
        </w:rPr>
        <w:br w:type="textWrapping"/>
      </w: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038725" cy="590550"/>
            <wp:effectExtent l="0" t="0" r="5715" b="3810"/>
            <wp:docPr id="11" name="图片 9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9" descr="IMG_25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5905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sz w:val="24"/>
          <w:szCs w:val="24"/>
        </w:rPr>
        <w:br w:type="textWrapping"/>
      </w:r>
      <w:r>
        <w:rPr>
          <w:rFonts w:ascii="宋体" w:hAnsi="宋体" w:eastAsia="宋体" w:cs="宋体"/>
          <w:sz w:val="24"/>
          <w:szCs w:val="24"/>
        </w:rPr>
        <w:t>若有师生忘记账号密码，可去身份认证地址设置。</w:t>
      </w:r>
      <w:r>
        <w:rPr>
          <w:rFonts w:ascii="宋体" w:hAnsi="宋体" w:eastAsia="宋体" w:cs="宋体"/>
          <w:sz w:val="24"/>
          <w:szCs w:val="24"/>
        </w:rPr>
        <w:br w:type="textWrapping"/>
      </w:r>
      <w:r>
        <w:rPr>
          <w:rFonts w:ascii="宋体" w:hAnsi="宋体" w:eastAsia="宋体" w:cs="宋体"/>
          <w:sz w:val="24"/>
          <w:szCs w:val="24"/>
        </w:rPr>
        <w:t>UUID参考地址：http://portal.iswufe.info/uuid/uuid/undergraduate</w:t>
      </w:r>
    </w:p>
    <w:p>
      <w:pPr>
        <w:rPr>
          <w:rFonts w:hint="eastAsia" w:asciiTheme="majorEastAsia" w:hAnsiTheme="majorEastAsia" w:eastAsiaTheme="majorEastAsia" w:cstheme="majorEastAsia"/>
          <w:b/>
          <w:bCs/>
          <w:sz w:val="72"/>
          <w:szCs w:val="72"/>
          <w:lang w:val="en-US" w:eastAsia="zh-CN"/>
        </w:rPr>
      </w:pPr>
      <w:r>
        <w:drawing>
          <wp:inline distT="0" distB="0" distL="114300" distR="114300">
            <wp:extent cx="5262245" cy="2109470"/>
            <wp:effectExtent l="0" t="0" r="10795" b="8890"/>
            <wp:docPr id="13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109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该应用主要是对助学金进行申请。</w:t>
      </w:r>
    </w:p>
    <w:p>
      <w:pPr>
        <w:ind w:firstLine="42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学生在辅导员未审核状态下，可进行撤回操作，撤回后可进行删除。</w:t>
      </w:r>
    </w:p>
    <w:p>
      <w:pPr>
        <w:ind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选择助学金，点击进入应用</w:t>
      </w:r>
    </w:p>
    <w:p>
      <w:r>
        <w:drawing>
          <wp:inline distT="0" distB="0" distL="114300" distR="114300">
            <wp:extent cx="5267960" cy="4736465"/>
            <wp:effectExtent l="0" t="0" r="5080" b="3175"/>
            <wp:docPr id="2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4736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bidi w:val="0"/>
        <w:ind w:left="575" w:leftChars="0" w:hanging="575" w:firstLineChars="0"/>
        <w:rPr>
          <w:rFonts w:hint="eastAsia"/>
          <w:lang w:val="en-US" w:eastAsia="zh-CN"/>
        </w:rPr>
      </w:pPr>
      <w:bookmarkStart w:id="8" w:name="_Toc20191"/>
      <w:r>
        <w:rPr>
          <w:rFonts w:hint="eastAsia"/>
          <w:lang w:val="en-US" w:eastAsia="zh-CN"/>
        </w:rPr>
        <w:t>助学金申请</w:t>
      </w:r>
      <w:bookmarkEnd w:id="8"/>
    </w:p>
    <w:p>
      <w:pPr>
        <w:pStyle w:val="4"/>
        <w:bidi w:val="0"/>
        <w:ind w:left="720" w:leftChars="0" w:hanging="72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奖项申请</w:t>
      </w:r>
    </w:p>
    <w:p>
      <w:pPr>
        <w:numPr>
          <w:ilvl w:val="0"/>
          <w:numId w:val="3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进入助学金申请页面后，选择需要申请的助学金，点击申请按钮；</w:t>
      </w:r>
    </w:p>
    <w:p>
      <w:r>
        <w:drawing>
          <wp:inline distT="0" distB="0" distL="114300" distR="114300">
            <wp:extent cx="5268595" cy="2237740"/>
            <wp:effectExtent l="0" t="0" r="8255" b="1016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237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3"/>
        </w:numPr>
      </w:pPr>
      <w:r>
        <w:rPr>
          <w:rFonts w:hint="eastAsia"/>
          <w:lang w:val="en-US" w:eastAsia="zh-CN"/>
        </w:rPr>
        <w:t>填写申请表后点击提交按钮</w:t>
      </w:r>
    </w:p>
    <w:p>
      <w:r>
        <w:drawing>
          <wp:inline distT="0" distB="0" distL="114300" distR="114300">
            <wp:extent cx="5272405" cy="2513965"/>
            <wp:effectExtent l="0" t="0" r="635" b="635"/>
            <wp:docPr id="3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5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513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bidi w:val="0"/>
        <w:ind w:left="720" w:leftChars="0" w:hanging="7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查看我的申请及撤回申请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点击我的申请，点击“申请详情”可查看申请的助学金，右边可以查看当前审核节点.</w:t>
      </w:r>
      <w:bookmarkStart w:id="9" w:name="_GoBack"/>
      <w:bookmarkEnd w:id="9"/>
    </w:p>
    <w:p>
      <w:pPr>
        <w:rPr>
          <w:rFonts w:hint="eastAsia"/>
          <w:lang w:val="en-US" w:eastAsia="zh-CN"/>
        </w:rPr>
      </w:pPr>
    </w:p>
    <w:p>
      <w:r>
        <w:drawing>
          <wp:inline distT="0" distB="0" distL="114300" distR="114300">
            <wp:extent cx="5269865" cy="3749675"/>
            <wp:effectExtent l="0" t="0" r="6985" b="317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74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65420" cy="2493645"/>
            <wp:effectExtent l="0" t="0" r="7620" b="5715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493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color w:val="FF0000"/>
          <w:lang w:val="en-US" w:eastAsia="zh-CN"/>
        </w:rPr>
      </w:pPr>
      <w:r>
        <w:rPr>
          <w:rFonts w:hint="eastAsia"/>
          <w:color w:val="FF0000"/>
          <w:lang w:val="en-US" w:eastAsia="zh-CN"/>
        </w:rPr>
        <w:t>注：辅导员未审核环节下，点击【撤回申请】可进行撤回。撤回后可重新填写或者删除</w:t>
      </w:r>
    </w:p>
    <w:p>
      <w:r>
        <w:drawing>
          <wp:inline distT="0" distB="0" distL="114300" distR="114300">
            <wp:extent cx="5267960" cy="5420360"/>
            <wp:effectExtent l="0" t="0" r="5080" b="5080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5420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CBF19A59"/>
    <w:multiLevelType w:val="singleLevel"/>
    <w:tmpl w:val="CBF19A59"/>
    <w:lvl w:ilvl="0" w:tentative="0">
      <w:start w:val="1"/>
      <w:numFmt w:val="decimal"/>
      <w:suff w:val="nothing"/>
      <w:lvlText w:val="%1、"/>
      <w:lvlJc w:val="left"/>
    </w:lvl>
  </w:abstractNum>
  <w:abstractNum w:abstractNumId="1">
    <w:nsid w:val="0A9FD2E8"/>
    <w:multiLevelType w:val="multilevel"/>
    <w:tmpl w:val="0A9FD2E8"/>
    <w:lvl w:ilvl="0" w:tentative="0">
      <w:start w:val="1"/>
      <w:numFmt w:val="decimal"/>
      <w:pStyle w:val="2"/>
      <w:lvlText w:val="%1."/>
      <w:lvlJc w:val="left"/>
      <w:pPr>
        <w:ind w:left="432" w:hanging="432"/>
      </w:pPr>
      <w:rPr>
        <w:rFonts w:hint="default"/>
      </w:rPr>
    </w:lvl>
    <w:lvl w:ilvl="1" w:tentative="0">
      <w:start w:val="1"/>
      <w:numFmt w:val="decimal"/>
      <w:pStyle w:val="3"/>
      <w:lvlText w:val="%1.%2."/>
      <w:lvlJc w:val="left"/>
      <w:pPr>
        <w:ind w:left="575" w:hanging="575"/>
      </w:pPr>
      <w:rPr>
        <w:rFonts w:hint="default"/>
      </w:rPr>
    </w:lvl>
    <w:lvl w:ilvl="2" w:tentative="0">
      <w:start w:val="1"/>
      <w:numFmt w:val="decimal"/>
      <w:pStyle w:val="4"/>
      <w:lvlText w:val="%1.%2.%3."/>
      <w:lvlJc w:val="left"/>
      <w:pPr>
        <w:ind w:left="720" w:hanging="720"/>
      </w:pPr>
      <w:rPr>
        <w:rFonts w:hint="default"/>
      </w:rPr>
    </w:lvl>
    <w:lvl w:ilvl="3" w:tentative="0">
      <w:start w:val="1"/>
      <w:numFmt w:val="decimal"/>
      <w:pStyle w:val="5"/>
      <w:lvlText w:val="%1.%2.%3.%4."/>
      <w:lvlJc w:val="left"/>
      <w:pPr>
        <w:ind w:left="864" w:hanging="864"/>
      </w:pPr>
      <w:rPr>
        <w:rFonts w:hint="default"/>
      </w:rPr>
    </w:lvl>
    <w:lvl w:ilvl="4" w:tentative="0">
      <w:start w:val="1"/>
      <w:numFmt w:val="decimal"/>
      <w:pStyle w:val="6"/>
      <w:lvlText w:val="%1.%2.%3.%4.%5."/>
      <w:lvlJc w:val="left"/>
      <w:pPr>
        <w:ind w:left="1008" w:hanging="1008"/>
      </w:pPr>
      <w:rPr>
        <w:rFonts w:hint="default"/>
      </w:rPr>
    </w:lvl>
    <w:lvl w:ilvl="5" w:tentative="0">
      <w:start w:val="1"/>
      <w:numFmt w:val="decimal"/>
      <w:pStyle w:val="7"/>
      <w:lvlText w:val="%1.%2.%3.%4.%5.%6."/>
      <w:lvlJc w:val="left"/>
      <w:pPr>
        <w:ind w:left="1151" w:hanging="1151"/>
      </w:pPr>
      <w:rPr>
        <w:rFonts w:hint="default"/>
      </w:rPr>
    </w:lvl>
    <w:lvl w:ilvl="6" w:tentative="0">
      <w:start w:val="1"/>
      <w:numFmt w:val="decimal"/>
      <w:pStyle w:val="8"/>
      <w:lvlText w:val="%1.%2.%3.%4.%5.%6.%7."/>
      <w:lvlJc w:val="left"/>
      <w:pPr>
        <w:ind w:left="1296" w:hanging="1296"/>
      </w:pPr>
      <w:rPr>
        <w:rFonts w:hint="default"/>
      </w:rPr>
    </w:lvl>
    <w:lvl w:ilvl="7" w:tentative="0">
      <w:start w:val="1"/>
      <w:numFmt w:val="decimal"/>
      <w:pStyle w:val="9"/>
      <w:lvlText w:val="%1.%2.%3.%4.%5.%6.%7.%8."/>
      <w:lvlJc w:val="left"/>
      <w:pPr>
        <w:ind w:left="1440" w:hanging="1440"/>
      </w:pPr>
      <w:rPr>
        <w:rFonts w:hint="default"/>
      </w:rPr>
    </w:lvl>
    <w:lvl w:ilvl="8" w:tentative="0">
      <w:start w:val="1"/>
      <w:numFmt w:val="decimal"/>
      <w:pStyle w:val="10"/>
      <w:lvlText w:val="%1.%2.%3.%4.%5.%6.%7.%8.%9."/>
      <w:lvlJc w:val="left"/>
      <w:pPr>
        <w:ind w:left="1583" w:hanging="1583"/>
      </w:pPr>
      <w:rPr>
        <w:rFonts w:hint="default"/>
      </w:rPr>
    </w:lvl>
  </w:abstractNum>
  <w:abstractNum w:abstractNumId="2">
    <w:nsid w:val="1E0B50EC"/>
    <w:multiLevelType w:val="singleLevel"/>
    <w:tmpl w:val="1E0B50EC"/>
    <w:lvl w:ilvl="0" w:tentative="0">
      <w:start w:val="1"/>
      <w:numFmt w:val="decimal"/>
      <w:suff w:val="nothing"/>
      <w:lvlText w:val="（%1）"/>
      <w:lvlJc w:val="left"/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0C765EE"/>
    <w:rsid w:val="023F2999"/>
    <w:rsid w:val="03842943"/>
    <w:rsid w:val="0820563B"/>
    <w:rsid w:val="08F4398E"/>
    <w:rsid w:val="0C421A5C"/>
    <w:rsid w:val="0D123E19"/>
    <w:rsid w:val="0D185BE2"/>
    <w:rsid w:val="0DC42E64"/>
    <w:rsid w:val="0F567E13"/>
    <w:rsid w:val="0FC1172E"/>
    <w:rsid w:val="173B24D7"/>
    <w:rsid w:val="1A1C6875"/>
    <w:rsid w:val="1B80370C"/>
    <w:rsid w:val="1DFC0F50"/>
    <w:rsid w:val="23732886"/>
    <w:rsid w:val="262A2472"/>
    <w:rsid w:val="266B5E3D"/>
    <w:rsid w:val="29CC78B3"/>
    <w:rsid w:val="2B521627"/>
    <w:rsid w:val="2C0A1906"/>
    <w:rsid w:val="2DC95FCA"/>
    <w:rsid w:val="2DCF0FBB"/>
    <w:rsid w:val="323A43DF"/>
    <w:rsid w:val="365A2F5F"/>
    <w:rsid w:val="37331BBA"/>
    <w:rsid w:val="377160B5"/>
    <w:rsid w:val="37F76797"/>
    <w:rsid w:val="397452FB"/>
    <w:rsid w:val="3E601351"/>
    <w:rsid w:val="40C313E8"/>
    <w:rsid w:val="43456F3B"/>
    <w:rsid w:val="43BD28BC"/>
    <w:rsid w:val="463651DD"/>
    <w:rsid w:val="47E2432D"/>
    <w:rsid w:val="47F15534"/>
    <w:rsid w:val="495B0E3C"/>
    <w:rsid w:val="4B025192"/>
    <w:rsid w:val="4DC70E09"/>
    <w:rsid w:val="4E285CB9"/>
    <w:rsid w:val="4F0E29F4"/>
    <w:rsid w:val="52742F21"/>
    <w:rsid w:val="52A27119"/>
    <w:rsid w:val="53097038"/>
    <w:rsid w:val="55141855"/>
    <w:rsid w:val="555E13CD"/>
    <w:rsid w:val="5C700173"/>
    <w:rsid w:val="5C736D46"/>
    <w:rsid w:val="5ECC7F4C"/>
    <w:rsid w:val="5F843706"/>
    <w:rsid w:val="6062692A"/>
    <w:rsid w:val="62D235A8"/>
    <w:rsid w:val="62D50E1F"/>
    <w:rsid w:val="64674FA5"/>
    <w:rsid w:val="66151699"/>
    <w:rsid w:val="675B5A04"/>
    <w:rsid w:val="67621192"/>
    <w:rsid w:val="67B93108"/>
    <w:rsid w:val="6AC50BBA"/>
    <w:rsid w:val="6F521F8C"/>
    <w:rsid w:val="71D80446"/>
    <w:rsid w:val="774F10C5"/>
    <w:rsid w:val="7BEA03B6"/>
    <w:rsid w:val="7D7052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semiHidden="0" w:name="heading 4"/>
    <w:lsdException w:qFormat="1" w:uiPriority="0" w:semiHidden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0" w:semiHidden="0" w:name="toc 1"/>
    <w:lsdException w:qFormat="1"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numPr>
        <w:ilvl w:val="0"/>
        <w:numId w:val="1"/>
      </w:numPr>
      <w:spacing w:before="340" w:beforeLines="0" w:beforeAutospacing="0" w:after="330" w:afterLines="0" w:afterAutospacing="0" w:line="576" w:lineRule="auto"/>
      <w:ind w:left="432" w:hanging="432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numPr>
        <w:ilvl w:val="1"/>
        <w:numId w:val="1"/>
      </w:numPr>
      <w:spacing w:before="260" w:beforeLines="0" w:beforeAutospacing="0" w:after="260" w:afterLines="0" w:afterAutospacing="0" w:line="413" w:lineRule="auto"/>
      <w:ind w:left="575" w:hanging="575"/>
      <w:outlineLvl w:val="1"/>
    </w:pPr>
    <w:rPr>
      <w:rFonts w:ascii="Arial" w:hAnsi="Arial" w:eastAsia="黑体"/>
      <w:b/>
      <w:sz w:val="32"/>
    </w:rPr>
  </w:style>
  <w:style w:type="paragraph" w:styleId="4">
    <w:name w:val="heading 3"/>
    <w:basedOn w:val="1"/>
    <w:next w:val="1"/>
    <w:unhideWhenUsed/>
    <w:qFormat/>
    <w:uiPriority w:val="0"/>
    <w:pPr>
      <w:keepNext/>
      <w:keepLines/>
      <w:numPr>
        <w:ilvl w:val="2"/>
        <w:numId w:val="1"/>
      </w:numPr>
      <w:spacing w:before="260" w:beforeLines="0" w:beforeAutospacing="0" w:after="260" w:afterLines="0" w:afterAutospacing="0" w:line="413" w:lineRule="auto"/>
      <w:ind w:left="720" w:hanging="720"/>
      <w:outlineLvl w:val="2"/>
    </w:pPr>
    <w:rPr>
      <w:b/>
      <w:sz w:val="32"/>
    </w:rPr>
  </w:style>
  <w:style w:type="paragraph" w:styleId="5">
    <w:name w:val="heading 4"/>
    <w:basedOn w:val="1"/>
    <w:next w:val="1"/>
    <w:unhideWhenUsed/>
    <w:qFormat/>
    <w:uiPriority w:val="0"/>
    <w:pPr>
      <w:keepNext/>
      <w:keepLines/>
      <w:numPr>
        <w:ilvl w:val="3"/>
        <w:numId w:val="1"/>
      </w:numPr>
      <w:spacing w:before="280" w:beforeLines="0" w:beforeAutospacing="0" w:after="290" w:afterLines="0" w:afterAutospacing="0" w:line="372" w:lineRule="auto"/>
      <w:ind w:left="864" w:hanging="864"/>
      <w:outlineLvl w:val="3"/>
    </w:pPr>
    <w:rPr>
      <w:rFonts w:ascii="Arial" w:hAnsi="Arial" w:eastAsia="黑体"/>
      <w:b/>
      <w:sz w:val="28"/>
    </w:rPr>
  </w:style>
  <w:style w:type="paragraph" w:styleId="6">
    <w:name w:val="heading 5"/>
    <w:basedOn w:val="1"/>
    <w:next w:val="1"/>
    <w:unhideWhenUsed/>
    <w:qFormat/>
    <w:uiPriority w:val="0"/>
    <w:pPr>
      <w:keepNext/>
      <w:keepLines/>
      <w:numPr>
        <w:ilvl w:val="4"/>
        <w:numId w:val="1"/>
      </w:numPr>
      <w:spacing w:before="280" w:beforeLines="0" w:beforeAutospacing="0" w:after="290" w:afterLines="0" w:afterAutospacing="0" w:line="372" w:lineRule="auto"/>
      <w:ind w:left="1008" w:hanging="1008"/>
      <w:outlineLvl w:val="4"/>
    </w:pPr>
    <w:rPr>
      <w:b/>
      <w:sz w:val="28"/>
    </w:rPr>
  </w:style>
  <w:style w:type="paragraph" w:styleId="7">
    <w:name w:val="heading 6"/>
    <w:basedOn w:val="1"/>
    <w:next w:val="1"/>
    <w:semiHidden/>
    <w:unhideWhenUsed/>
    <w:qFormat/>
    <w:uiPriority w:val="0"/>
    <w:pPr>
      <w:keepNext/>
      <w:keepLines/>
      <w:numPr>
        <w:ilvl w:val="5"/>
        <w:numId w:val="1"/>
      </w:numPr>
      <w:spacing w:before="240" w:beforeLines="0" w:beforeAutospacing="0" w:after="64" w:afterLines="0" w:afterAutospacing="0" w:line="317" w:lineRule="auto"/>
      <w:ind w:left="1151" w:hanging="1151"/>
      <w:outlineLvl w:val="5"/>
    </w:pPr>
    <w:rPr>
      <w:rFonts w:ascii="Arial" w:hAnsi="Arial" w:eastAsia="黑体"/>
      <w:b/>
      <w:sz w:val="24"/>
    </w:rPr>
  </w:style>
  <w:style w:type="paragraph" w:styleId="8">
    <w:name w:val="heading 7"/>
    <w:basedOn w:val="1"/>
    <w:next w:val="1"/>
    <w:semiHidden/>
    <w:unhideWhenUsed/>
    <w:qFormat/>
    <w:uiPriority w:val="0"/>
    <w:pPr>
      <w:keepNext/>
      <w:keepLines/>
      <w:numPr>
        <w:ilvl w:val="6"/>
        <w:numId w:val="1"/>
      </w:numPr>
      <w:spacing w:before="240" w:beforeLines="0" w:beforeAutospacing="0" w:after="64" w:afterLines="0" w:afterAutospacing="0" w:line="317" w:lineRule="auto"/>
      <w:ind w:left="1296" w:hanging="1296"/>
      <w:outlineLvl w:val="6"/>
    </w:pPr>
    <w:rPr>
      <w:b/>
      <w:sz w:val="24"/>
    </w:rPr>
  </w:style>
  <w:style w:type="paragraph" w:styleId="9">
    <w:name w:val="heading 8"/>
    <w:basedOn w:val="1"/>
    <w:next w:val="1"/>
    <w:semiHidden/>
    <w:unhideWhenUsed/>
    <w:qFormat/>
    <w:uiPriority w:val="0"/>
    <w:pPr>
      <w:keepNext/>
      <w:keepLines/>
      <w:numPr>
        <w:ilvl w:val="7"/>
        <w:numId w:val="1"/>
      </w:numPr>
      <w:spacing w:before="240" w:beforeLines="0" w:beforeAutospacing="0" w:after="64" w:afterLines="0" w:afterAutospacing="0" w:line="317" w:lineRule="auto"/>
      <w:ind w:left="1440" w:hanging="1440"/>
      <w:outlineLvl w:val="7"/>
    </w:pPr>
    <w:rPr>
      <w:rFonts w:ascii="Arial" w:hAnsi="Arial" w:eastAsia="黑体"/>
      <w:sz w:val="24"/>
    </w:rPr>
  </w:style>
  <w:style w:type="paragraph" w:styleId="10">
    <w:name w:val="heading 9"/>
    <w:basedOn w:val="1"/>
    <w:next w:val="1"/>
    <w:semiHidden/>
    <w:unhideWhenUsed/>
    <w:qFormat/>
    <w:uiPriority w:val="0"/>
    <w:pPr>
      <w:keepNext/>
      <w:keepLines/>
      <w:numPr>
        <w:ilvl w:val="8"/>
        <w:numId w:val="1"/>
      </w:numPr>
      <w:spacing w:before="240" w:beforeLines="0" w:beforeAutospacing="0" w:after="64" w:afterLines="0" w:afterAutospacing="0" w:line="317" w:lineRule="auto"/>
      <w:ind w:left="1583" w:hanging="1583"/>
      <w:outlineLvl w:val="8"/>
    </w:pPr>
    <w:rPr>
      <w:rFonts w:ascii="Arial" w:hAnsi="Arial" w:eastAsia="黑体"/>
      <w:sz w:val="21"/>
    </w:rPr>
  </w:style>
  <w:style w:type="character" w:default="1" w:styleId="15">
    <w:name w:val="Default Paragraph Font"/>
    <w:semiHidden/>
    <w:qFormat/>
    <w:uiPriority w:val="0"/>
  </w:style>
  <w:style w:type="table" w:default="1" w:styleId="1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caption"/>
    <w:basedOn w:val="1"/>
    <w:next w:val="1"/>
    <w:semiHidden/>
    <w:unhideWhenUsed/>
    <w:qFormat/>
    <w:uiPriority w:val="0"/>
    <w:rPr>
      <w:rFonts w:ascii="Arial" w:hAnsi="Arial" w:eastAsia="黑体"/>
      <w:sz w:val="20"/>
    </w:rPr>
  </w:style>
  <w:style w:type="paragraph" w:styleId="12">
    <w:name w:val="toc 1"/>
    <w:basedOn w:val="1"/>
    <w:next w:val="1"/>
    <w:qFormat/>
    <w:uiPriority w:val="0"/>
  </w:style>
  <w:style w:type="paragraph" w:styleId="13">
    <w:name w:val="toc 2"/>
    <w:basedOn w:val="1"/>
    <w:next w:val="1"/>
    <w:qFormat/>
    <w:uiPriority w:val="0"/>
    <w:pPr>
      <w:ind w:left="420" w:leftChars="200"/>
    </w:pPr>
  </w:style>
  <w:style w:type="paragraph" w:customStyle="1" w:styleId="16">
    <w:name w:val="WPSOffice手动目录 1"/>
    <w:qFormat/>
    <w:uiPriority w:val="0"/>
    <w:pPr>
      <w:ind w:leftChars="0"/>
    </w:pPr>
    <w:rPr>
      <w:rFonts w:ascii="Times New Roman" w:hAnsi="Times New Roman" w:eastAsia="宋体" w:cs="Times New Roman"/>
      <w:sz w:val="20"/>
      <w:szCs w:val="20"/>
    </w:rPr>
  </w:style>
  <w:style w:type="paragraph" w:customStyle="1" w:styleId="17">
    <w:name w:val="WPSOffice手动目录 2"/>
    <w:qFormat/>
    <w:uiPriority w:val="0"/>
    <w:pPr>
      <w:ind w:leftChars="200"/>
    </w:pPr>
    <w:rPr>
      <w:rFonts w:ascii="Times New Roman" w:hAnsi="Times New Roman" w:eastAsia="宋体" w:cs="Times New Roman"/>
      <w:sz w:val="20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8" Type="http://schemas.openxmlformats.org/officeDocument/2006/relationships/fontTable" Target="fontTable.xml"/><Relationship Id="rId27" Type="http://schemas.openxmlformats.org/officeDocument/2006/relationships/numbering" Target="numbering.xml"/><Relationship Id="rId26" Type="http://schemas.openxmlformats.org/officeDocument/2006/relationships/customXml" Target="../customXml/item1.xml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jpe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30</TotalTime>
  <ScaleCrop>false</ScaleCrop>
  <LinksUpToDate>false</LinksUpToDate>
  <CharactersWithSpaces>0</CharactersWithSpaces>
  <Application>WPS Office_11.1.0.10938_F1E327BC-269C-435d-A152-05C5408002CA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qinge</dc:creator>
  <cp:lastModifiedBy>ZJ</cp:lastModifiedBy>
  <dcterms:modified xsi:type="dcterms:W3CDTF">2021-10-09T04:06:58Z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2052-11.1.0.10938</vt:lpwstr>
  </property>
  <property fmtid="{D5CDD505-2E9C-101B-9397-08002B2CF9AE}" pid="3" name="ICV">
    <vt:lpwstr>4108DE239F54474EA8B345F75B8983ED</vt:lpwstr>
  </property>
</Properties>
</file>