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/>
    <w:p/>
    <w:p/>
    <w:p/>
    <w:p/>
    <w:p/>
    <w:p/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  <w:t>助学金</w:t>
      </w:r>
    </w:p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  <w:t>学院资助专管辅导员</w:t>
      </w:r>
    </w:p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  <w:t>操作手册</w:t>
      </w:r>
    </w:p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</w:p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</w:p>
    <w:sdt>
      <w:sdt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  <w:id w:val="147454275"/>
        <w15:color w:val="DBDBDB"/>
        <w:docPartObj>
          <w:docPartGallery w:val="Table of Contents"/>
          <w:docPartUnique/>
        </w:docPartObj>
      </w:sdtPr>
      <w:sdtEndPr>
        <w:rPr>
          <w:rFonts w:hint="eastAsia" w:asciiTheme="majorEastAsia" w:hAnsiTheme="majorEastAsia" w:eastAsiaTheme="majorEastAsia" w:cstheme="majorEastAsia"/>
          <w:b/>
          <w:bCs/>
          <w:kern w:val="2"/>
          <w:sz w:val="21"/>
          <w:szCs w:val="72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/>
              <w:bCs/>
              <w:sz w:val="72"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/>
              <w:bCs/>
              <w:sz w:val="72"/>
              <w:szCs w:val="72"/>
              <w:lang w:val="en-US" w:eastAsia="zh-CN"/>
            </w:rPr>
            <w:instrText xml:space="preserve">TOC \o "1-2" \h \u </w:instrText>
          </w:r>
          <w:r>
            <w:rPr>
              <w:rFonts w:hint="eastAsia" w:asciiTheme="majorEastAsia" w:hAnsiTheme="majorEastAsia" w:eastAsiaTheme="majorEastAsia" w:cstheme="majorEastAsia"/>
              <w:b/>
              <w:bCs/>
              <w:sz w:val="72"/>
              <w:szCs w:val="72"/>
              <w:lang w:val="en-US" w:eastAsia="zh-CN"/>
            </w:rPr>
            <w:fldChar w:fldCharType="separate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_Toc760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1. </w:t>
          </w:r>
          <w:r>
            <w:rPr>
              <w:rFonts w:hint="eastAsia"/>
              <w:lang w:val="en-US" w:eastAsia="zh-CN"/>
            </w:rPr>
            <w:t>功能概述</w:t>
          </w:r>
          <w:r>
            <w:tab/>
          </w:r>
          <w:r>
            <w:fldChar w:fldCharType="begin"/>
          </w:r>
          <w:r>
            <w:instrText xml:space="preserve"> PAGEREF _Toc760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_Toc23068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1.1. </w:t>
          </w:r>
          <w:r>
            <w:rPr>
              <w:rFonts w:hint="eastAsia"/>
              <w:lang w:val="en-US" w:eastAsia="zh-CN"/>
            </w:rPr>
            <w:t>国家助学金</w:t>
          </w:r>
          <w:r>
            <w:tab/>
          </w:r>
          <w:r>
            <w:fldChar w:fldCharType="begin"/>
          </w:r>
          <w:r>
            <w:instrText xml:space="preserve"> PAGEREF _Toc23068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_Toc7825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1.2. </w:t>
          </w:r>
          <w:r>
            <w:rPr>
              <w:rFonts w:hint="eastAsia"/>
              <w:lang w:val="en-US" w:eastAsia="zh-CN"/>
            </w:rPr>
            <w:t>毕业生基层就业、自主创业助学金</w:t>
          </w:r>
          <w:r>
            <w:tab/>
          </w:r>
          <w:r>
            <w:fldChar w:fldCharType="begin"/>
          </w:r>
          <w:r>
            <w:instrText xml:space="preserve"> PAGEREF _Toc7825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_Toc16896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2. </w:t>
          </w:r>
          <w:r>
            <w:rPr>
              <w:rFonts w:hint="eastAsia"/>
              <w:lang w:val="en-US" w:eastAsia="zh-CN"/>
            </w:rPr>
            <w:t>进入应用</w:t>
          </w:r>
          <w:r>
            <w:tab/>
          </w:r>
          <w:r>
            <w:fldChar w:fldCharType="begin"/>
          </w:r>
          <w:r>
            <w:instrText xml:space="preserve"> PAGEREF _Toc16896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_Toc23037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3. </w:t>
          </w:r>
          <w:r>
            <w:rPr>
              <w:rFonts w:hint="eastAsia"/>
              <w:lang w:val="en-US" w:eastAsia="zh-CN"/>
            </w:rPr>
            <w:t>助学金审核</w:t>
          </w:r>
          <w:r>
            <w:tab/>
          </w:r>
          <w:r>
            <w:fldChar w:fldCharType="begin"/>
          </w:r>
          <w:r>
            <w:instrText xml:space="preserve"> PAGEREF _Toc23037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_Toc19741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3.1. </w:t>
          </w:r>
          <w:r>
            <w:rPr>
              <w:rFonts w:hint="eastAsia"/>
              <w:lang w:val="en-US" w:eastAsia="zh-CN"/>
            </w:rPr>
            <w:t>审核助学金</w:t>
          </w:r>
          <w:r>
            <w:tab/>
          </w:r>
          <w:r>
            <w:fldChar w:fldCharType="begin"/>
          </w:r>
          <w:r>
            <w:instrText xml:space="preserve"> PAGEREF _Toc19741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_Toc15522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3.2. </w:t>
          </w:r>
          <w:r>
            <w:rPr>
              <w:rFonts w:hint="eastAsia"/>
              <w:lang w:val="en-US" w:eastAsia="zh-CN"/>
            </w:rPr>
            <w:t>提名</w:t>
          </w:r>
          <w:r>
            <w:tab/>
          </w:r>
          <w:r>
            <w:fldChar w:fldCharType="begin"/>
          </w:r>
          <w:r>
            <w:instrText xml:space="preserve"> PAGEREF _Toc15522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_Toc25812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3.3. </w:t>
          </w:r>
          <w:r>
            <w:rPr>
              <w:rFonts w:hint="eastAsia"/>
              <w:lang w:val="en-US" w:eastAsia="zh-CN"/>
            </w:rPr>
            <w:t>查看学生资格条件</w:t>
          </w:r>
          <w:r>
            <w:tab/>
          </w:r>
          <w:r>
            <w:fldChar w:fldCharType="begin"/>
          </w:r>
          <w:r>
            <w:instrText xml:space="preserve"> PAGEREF _Toc25812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_Toc21425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4. </w:t>
          </w:r>
          <w:r>
            <w:rPr>
              <w:rFonts w:hint="eastAsia"/>
              <w:lang w:val="en-US" w:eastAsia="zh-CN"/>
            </w:rPr>
            <w:t>助学金院级公示</w:t>
          </w:r>
          <w:r>
            <w:tab/>
          </w:r>
          <w:r>
            <w:fldChar w:fldCharType="begin"/>
          </w:r>
          <w:r>
            <w:instrText xml:space="preserve"> PAGEREF _Toc21425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_Toc11699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5. </w:t>
          </w:r>
          <w:r>
            <w:rPr>
              <w:rFonts w:hint="eastAsia"/>
              <w:lang w:val="en-US" w:eastAsia="zh-CN"/>
            </w:rPr>
            <w:t>助学金查询</w:t>
          </w:r>
          <w:r>
            <w:tab/>
          </w:r>
          <w:r>
            <w:fldChar w:fldCharType="begin"/>
          </w:r>
          <w:r>
            <w:instrText xml:space="preserve"> PAGEREF _Toc11699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_Toc21779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6. </w:t>
          </w:r>
          <w:r>
            <w:rPr>
              <w:rFonts w:hint="eastAsia"/>
              <w:lang w:val="en-US" w:eastAsia="zh-CN"/>
            </w:rPr>
            <w:t>其他功能</w:t>
          </w:r>
          <w:r>
            <w:tab/>
          </w:r>
          <w:r>
            <w:fldChar w:fldCharType="begin"/>
          </w:r>
          <w:r>
            <w:instrText xml:space="preserve"> PAGEREF _Toc21779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_Toc815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6.1. </w:t>
          </w:r>
          <w:r>
            <w:rPr>
              <w:rFonts w:hint="eastAsia"/>
              <w:lang w:val="en-US" w:eastAsia="zh-CN"/>
            </w:rPr>
            <w:t>高级搜索</w:t>
          </w:r>
          <w:r>
            <w:tab/>
          </w:r>
          <w:r>
            <w:fldChar w:fldCharType="begin"/>
          </w:r>
          <w:r>
            <w:instrText xml:space="preserve"> PAGEREF _Toc815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_Toc32467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6.2. </w:t>
          </w:r>
          <w:r>
            <w:rPr>
              <w:rFonts w:hint="eastAsia"/>
              <w:lang w:val="en-US" w:eastAsia="zh-CN"/>
            </w:rPr>
            <w:t>自定义列</w:t>
          </w:r>
          <w:r>
            <w:tab/>
          </w:r>
          <w:r>
            <w:fldChar w:fldCharType="begin"/>
          </w:r>
          <w:r>
            <w:instrText xml:space="preserve"> PAGEREF _Toc32467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jc w:val="center"/>
            <w:rPr>
              <w:rFonts w:hint="eastAsia" w:asciiTheme="majorEastAsia" w:hAnsiTheme="majorEastAsia" w:eastAsiaTheme="majorEastAsia" w:cstheme="majorEastAsia"/>
              <w:b/>
              <w:bCs/>
              <w:sz w:val="72"/>
              <w:szCs w:val="72"/>
              <w:lang w:val="en-US" w:eastAsia="zh-CN"/>
            </w:rPr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</w:sdtContent>
    </w:sdt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</w:p>
    <w:p>
      <w:pPr>
        <w:pStyle w:val="2"/>
        <w:numPr>
          <w:ilvl w:val="0"/>
          <w:numId w:val="1"/>
        </w:numPr>
        <w:bidi w:val="0"/>
        <w:ind w:left="425" w:leftChars="0" w:hanging="425" w:firstLineChars="0"/>
        <w:rPr>
          <w:rFonts w:hint="eastAsia"/>
          <w:b/>
          <w:lang w:val="en-US" w:eastAsia="zh-CN"/>
        </w:rPr>
      </w:pPr>
      <w:bookmarkStart w:id="0" w:name="_Toc30308"/>
      <w:bookmarkStart w:id="1" w:name="_Toc760"/>
      <w:r>
        <w:rPr>
          <w:rFonts w:hint="eastAsia"/>
          <w:lang w:val="en-US" w:eastAsia="zh-CN"/>
        </w:rPr>
        <w:t>功能概述</w:t>
      </w:r>
      <w:bookmarkEnd w:id="0"/>
      <w:bookmarkEnd w:id="1"/>
    </w:p>
    <w:p>
      <w:pPr>
        <w:jc w:val="left"/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在系统中进行申请的助学金有国家助学金和毕业生基层就业、自主创业助学金两个。</w:t>
      </w:r>
    </w:p>
    <w:p>
      <w:pPr>
        <w:pStyle w:val="3"/>
        <w:bidi w:val="0"/>
        <w:ind w:left="575" w:leftChars="0" w:hanging="575" w:firstLineChars="0"/>
        <w:rPr>
          <w:rFonts w:hint="default"/>
          <w:lang w:val="en-US" w:eastAsia="zh-CN"/>
        </w:rPr>
      </w:pPr>
      <w:bookmarkStart w:id="2" w:name="_Toc13072"/>
      <w:bookmarkStart w:id="3" w:name="_Toc23068"/>
      <w:r>
        <w:rPr>
          <w:rFonts w:hint="eastAsia"/>
          <w:lang w:val="en-US" w:eastAsia="zh-CN"/>
        </w:rPr>
        <w:t>国家助学金</w:t>
      </w:r>
      <w:bookmarkEnd w:id="2"/>
      <w:bookmarkEnd w:id="3"/>
    </w:p>
    <w:p>
      <w:pPr>
        <w:ind w:firstLine="420" w:firstLineChars="200"/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面向全校本科生，需要满足家庭经济困难、上学年考试无不及格、无处分等条件；</w:t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分为一、二、三等。学生只能申请其中一个，一旦提交，就无法再申请其他等级；</w:t>
      </w:r>
    </w:p>
    <w:p>
      <w:pPr>
        <w:ind w:firstLine="420" w:firstLineChars="200"/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学生提交后，需要辅导员审核→学院资助专管辅导员审核→学院资助分管领导审核→学校审核。</w:t>
      </w:r>
    </w:p>
    <w:p>
      <w:pPr>
        <w:pStyle w:val="3"/>
        <w:bidi w:val="0"/>
        <w:ind w:left="575" w:leftChars="0" w:hanging="575" w:firstLineChars="0"/>
        <w:rPr>
          <w:rFonts w:hint="eastAsia"/>
          <w:lang w:val="en-US" w:eastAsia="zh-CN"/>
        </w:rPr>
      </w:pPr>
      <w:bookmarkStart w:id="4" w:name="_Toc16998"/>
      <w:bookmarkStart w:id="5" w:name="_Toc7825"/>
      <w:r>
        <w:rPr>
          <w:rFonts w:hint="eastAsia"/>
          <w:lang w:val="en-US" w:eastAsia="zh-CN"/>
        </w:rPr>
        <w:t>毕业生基层就业、自主创业助学金</w:t>
      </w:r>
      <w:bookmarkEnd w:id="4"/>
      <w:bookmarkEnd w:id="5"/>
    </w:p>
    <w:p>
      <w:pPr>
        <w:numPr>
          <w:ilvl w:val="0"/>
          <w:numId w:val="0"/>
        </w:numPr>
        <w:ind w:firstLine="420" w:firstLineChars="200"/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应届毕业生申请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学生提交后，需要学院资助专管辅导员审核→学院资助分管领导审核→学校审核。</w:t>
      </w:r>
    </w:p>
    <w:p>
      <w:pPr>
        <w:jc w:val="left"/>
        <w:rPr>
          <w:rFonts w:hint="default" w:ascii="宋体" w:hAnsi="宋体" w:cs="宋体"/>
          <w:b w:val="0"/>
          <w:bCs w:val="0"/>
          <w:sz w:val="21"/>
          <w:szCs w:val="21"/>
          <w:lang w:val="en-US" w:eastAsia="zh-CN"/>
        </w:rPr>
      </w:pPr>
    </w:p>
    <w:p>
      <w:pPr>
        <w:pStyle w:val="2"/>
        <w:numPr>
          <w:ilvl w:val="0"/>
          <w:numId w:val="1"/>
        </w:numPr>
        <w:bidi w:val="0"/>
        <w:ind w:left="432" w:leftChars="0" w:hanging="432" w:firstLineChars="0"/>
        <w:rPr>
          <w:rFonts w:hint="default"/>
          <w:b/>
          <w:lang w:val="en-US" w:eastAsia="zh-CN"/>
        </w:rPr>
      </w:pPr>
      <w:bookmarkStart w:id="6" w:name="_Toc16896"/>
      <w:r>
        <w:rPr>
          <w:rFonts w:hint="eastAsia"/>
          <w:b/>
          <w:lang w:val="en-US" w:eastAsia="zh-CN"/>
        </w:rPr>
        <w:t>进入应用</w:t>
      </w:r>
      <w:bookmarkEnd w:id="6"/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 w:val="0"/>
          <w:bCs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t>电脑上浏览器访问链接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90500" cy="142875"/>
            <wp:effectExtent l="0" t="0" r="0" b="9525"/>
            <wp:docPr id="10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t>http://ehallapp.swufe.edu.cn/</w:t>
      </w:r>
      <w:r>
        <w:rPr>
          <w:rFonts w:ascii="宋体" w:hAnsi="宋体" w:eastAsia="宋体" w:cs="宋体"/>
          <w:sz w:val="24"/>
          <w:szCs w:val="24"/>
        </w:rPr>
        <w:br w:type="textWrapping"/>
      </w:r>
      <w:r>
        <w:rPr>
          <w:rFonts w:ascii="宋体" w:hAnsi="宋体" w:eastAsia="宋体" w:cs="宋体"/>
          <w:sz w:val="24"/>
          <w:szCs w:val="24"/>
        </w:rPr>
        <w:t>建议使用谷歌浏览器、360急速浏览器、360安全浏览器、IE9-11。</w:t>
      </w:r>
      <w:r>
        <w:rPr>
          <w:rFonts w:ascii="宋体" w:hAnsi="宋体" w:eastAsia="宋体" w:cs="宋体"/>
          <w:sz w:val="24"/>
          <w:szCs w:val="24"/>
        </w:rPr>
        <w:br w:type="textWrapping"/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038725" cy="590550"/>
            <wp:effectExtent l="0" t="0" r="9525" b="0"/>
            <wp:docPr id="11" name="图片 9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br w:type="textWrapping"/>
      </w:r>
      <w:r>
        <w:rPr>
          <w:rFonts w:ascii="宋体" w:hAnsi="宋体" w:eastAsia="宋体" w:cs="宋体"/>
          <w:sz w:val="24"/>
          <w:szCs w:val="24"/>
        </w:rPr>
        <w:t>若有师生忘记账号密码，可去身份认证地址设置。</w:t>
      </w:r>
      <w:r>
        <w:rPr>
          <w:rFonts w:ascii="宋体" w:hAnsi="宋体" w:eastAsia="宋体" w:cs="宋体"/>
          <w:sz w:val="24"/>
          <w:szCs w:val="24"/>
        </w:rPr>
        <w:br w:type="textWrapping"/>
      </w:r>
      <w:r>
        <w:rPr>
          <w:rFonts w:ascii="宋体" w:hAnsi="宋体" w:eastAsia="宋体" w:cs="宋体"/>
          <w:sz w:val="24"/>
          <w:szCs w:val="24"/>
        </w:rPr>
        <w:t>UUID参考地址：http://portal.iswufe.info/uuid/uuid/undergraduate</w:t>
      </w:r>
    </w:p>
    <w:p>
      <w:pPr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  <w:r>
        <w:drawing>
          <wp:inline distT="0" distB="0" distL="114300" distR="114300">
            <wp:extent cx="5262245" cy="2109470"/>
            <wp:effectExtent l="0" t="0" r="14605" b="5080"/>
            <wp:docPr id="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10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登录后选择资助管理→助学金进入应用。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4310" cy="2445385"/>
            <wp:effectExtent l="0" t="0" r="2540" b="1206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pStyle w:val="2"/>
        <w:numPr>
          <w:ilvl w:val="0"/>
          <w:numId w:val="1"/>
        </w:numPr>
        <w:bidi w:val="0"/>
        <w:ind w:left="432" w:leftChars="0" w:hanging="432" w:firstLineChars="0"/>
        <w:rPr>
          <w:rFonts w:hint="eastAsia"/>
          <w:b/>
          <w:lang w:val="en-US" w:eastAsia="zh-CN"/>
        </w:rPr>
      </w:pPr>
      <w:bookmarkStart w:id="7" w:name="_Toc23037"/>
      <w:r>
        <w:rPr>
          <w:rFonts w:hint="eastAsia"/>
          <w:b/>
          <w:lang w:val="en-US" w:eastAsia="zh-CN"/>
        </w:rPr>
        <w:t>助学金审核</w:t>
      </w:r>
      <w:bookmarkEnd w:id="7"/>
    </w:p>
    <w:p>
      <w:pPr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助学金审核页面，审核助学金申请。有单个审核和批量审核等审核方式。</w:t>
      </w:r>
    </w:p>
    <w:p>
      <w:r>
        <w:drawing>
          <wp:inline distT="0" distB="0" distL="114300" distR="114300">
            <wp:extent cx="5272405" cy="2465070"/>
            <wp:effectExtent l="0" t="0" r="635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6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3"/>
        <w:bidi w:val="0"/>
        <w:ind w:left="575" w:leftChars="0" w:hanging="575" w:firstLineChars="0"/>
        <w:rPr>
          <w:rFonts w:hint="default"/>
          <w:lang w:val="en-US" w:eastAsia="zh-CN"/>
        </w:rPr>
      </w:pPr>
      <w:bookmarkStart w:id="8" w:name="_Toc19741"/>
      <w:r>
        <w:rPr>
          <w:rFonts w:hint="eastAsia"/>
          <w:lang w:val="en-US" w:eastAsia="zh-CN"/>
        </w:rPr>
        <w:t>审核助学金</w:t>
      </w:r>
      <w:bookmarkEnd w:id="8"/>
    </w:p>
    <w:p>
      <w:pPr>
        <w:pStyle w:val="4"/>
        <w:bidi w:val="0"/>
        <w:ind w:left="575" w:leftChars="0" w:hanging="575" w:firstLineChars="0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以班级为单位批量审核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点击【审核统计】按钮，页面右边弹出的页面上，可以以班级为单位批量审核。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7325" cy="2976245"/>
            <wp:effectExtent l="0" t="0" r="9525" b="14605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7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以班级为维度进行审核，可勾选一个或多个班级进行批量审核。</w:t>
      </w:r>
    </w:p>
    <w:p>
      <w:r>
        <w:drawing>
          <wp:inline distT="0" distB="0" distL="114300" distR="114300">
            <wp:extent cx="5271135" cy="3201670"/>
            <wp:effectExtent l="0" t="0" r="5715" b="1778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20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4"/>
        <w:bidi w:val="0"/>
        <w:ind w:left="575" w:leftChars="0" w:hanging="575" w:firstLineChars="0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勾选多条申请审核</w:t>
      </w:r>
    </w:p>
    <w:p>
      <w:pPr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在学生申请的数据列表中，勾选一条或者多条申请后，点击【通过】或者【不通过】按钮进行审核。</w:t>
      </w:r>
      <w:r>
        <w:rPr>
          <w:rFonts w:hint="eastAsia"/>
          <w:color w:val="FF0000"/>
          <w:lang w:val="en-US" w:eastAsia="zh-CN"/>
        </w:rPr>
        <w:t>一旦审核不通过，学生无法申请，如果要退回请点击【申请表】按钮操作。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7960" cy="2962275"/>
            <wp:effectExtent l="0" t="0" r="8890" b="9525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pStyle w:val="4"/>
        <w:bidi w:val="0"/>
        <w:ind w:left="575" w:leftChars="0" w:hanging="575" w:firstLineChars="0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单个审核</w:t>
      </w:r>
    </w:p>
    <w:p>
      <w:pPr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点击要审核学生申请前面的【申请表】按钮，在弹出的页面查看学生申请表，并进行通过、不通过、退回审核。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2970530"/>
            <wp:effectExtent l="0" t="0" r="3810" b="1270"/>
            <wp:docPr id="2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7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8595" cy="3358515"/>
            <wp:effectExtent l="0" t="0" r="8255" b="13335"/>
            <wp:docPr id="2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35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color w:val="FF0000"/>
          <w:lang w:val="en-US" w:eastAsia="zh-CN"/>
        </w:rPr>
        <w:t>一旦审核不通过，学生无法申请，如果要让学生修改后再次提交，请退回。</w:t>
      </w:r>
    </w:p>
    <w:p>
      <w:pPr>
        <w:rPr>
          <w:rFonts w:hint="default"/>
          <w:lang w:val="en-US" w:eastAsia="zh-CN"/>
        </w:rPr>
      </w:pPr>
    </w:p>
    <w:p>
      <w:pPr>
        <w:pStyle w:val="3"/>
        <w:bidi w:val="0"/>
        <w:ind w:left="575" w:leftChars="0" w:hanging="575" w:firstLineChars="0"/>
        <w:rPr>
          <w:rFonts w:hint="default"/>
          <w:lang w:val="en-US" w:eastAsia="zh-CN"/>
        </w:rPr>
      </w:pPr>
      <w:bookmarkStart w:id="9" w:name="_Toc15522"/>
      <w:r>
        <w:rPr>
          <w:rFonts w:hint="eastAsia"/>
          <w:lang w:val="en-US" w:eastAsia="zh-CN"/>
        </w:rPr>
        <w:t>提名</w:t>
      </w:r>
      <w:bookmarkEnd w:id="9"/>
    </w:p>
    <w:p>
      <w:p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如果有学生符合助学金的评定条件，但由于各种原因自己未申请的，学院资助分管领导（每个审核老师都可以提名自己管辖范围的学生）可以帮学生申请，即为提名。这种情况一般较少。操作如下：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点击提名按钮，选择提名的学生、助学金信息，并填写对应的申请表后提交。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1770" cy="2712720"/>
            <wp:effectExtent l="0" t="0" r="127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71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5420" cy="2586990"/>
            <wp:effectExtent l="0" t="0" r="7620" b="3810"/>
            <wp:docPr id="2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3"/>
        <w:bidi w:val="0"/>
        <w:ind w:left="575" w:leftChars="0" w:hanging="575" w:firstLineChars="0"/>
        <w:rPr>
          <w:rFonts w:hint="eastAsia"/>
          <w:lang w:val="en-US" w:eastAsia="zh-CN"/>
        </w:rPr>
      </w:pPr>
      <w:bookmarkStart w:id="10" w:name="_Toc25812"/>
      <w:r>
        <w:rPr>
          <w:rFonts w:hint="eastAsia"/>
          <w:lang w:val="en-US" w:eastAsia="zh-CN"/>
        </w:rPr>
        <w:t>查看学生资格条件</w:t>
      </w:r>
      <w:bookmarkEnd w:id="10"/>
    </w:p>
    <w:p>
      <w:pPr>
        <w:ind w:firstLine="420" w:firstLineChars="200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学生申请国家助学金需要满足学校规定的资格条件：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家庭经济困难、上学年考试无不及格、无未解除处分。</w:t>
      </w:r>
    </w:p>
    <w:p>
      <w:pPr>
        <w:ind w:firstLine="420" w:firstLineChars="200"/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审核老师点击查看报表→查看资格条件按钮，弹出的页面上可以查看学生资格条件是否满足。无则显示空白。</w:t>
      </w:r>
    </w:p>
    <w:p>
      <w:r>
        <w:drawing>
          <wp:inline distT="0" distB="0" distL="114300" distR="114300">
            <wp:extent cx="5273675" cy="2922270"/>
            <wp:effectExtent l="0" t="0" r="3175" b="1143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2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266055" cy="2829560"/>
            <wp:effectExtent l="0" t="0" r="10795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2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3" w:name="_GoBack"/>
      <w:bookmarkEnd w:id="23"/>
    </w:p>
    <w:p>
      <w:pPr>
        <w:rPr>
          <w:rFonts w:hint="default"/>
          <w:lang w:val="en-US" w:eastAsia="zh-CN"/>
        </w:rPr>
      </w:pPr>
    </w:p>
    <w:p>
      <w:pPr>
        <w:pStyle w:val="2"/>
        <w:numPr>
          <w:ilvl w:val="0"/>
          <w:numId w:val="1"/>
        </w:numPr>
        <w:bidi w:val="0"/>
        <w:ind w:left="432" w:leftChars="0" w:hanging="432" w:firstLineChars="0"/>
        <w:rPr>
          <w:rFonts w:hint="eastAsia"/>
          <w:b/>
          <w:lang w:val="en-US" w:eastAsia="zh-CN"/>
        </w:rPr>
      </w:pPr>
      <w:bookmarkStart w:id="11" w:name="_Toc17369"/>
      <w:bookmarkStart w:id="12" w:name="_Toc21425"/>
      <w:r>
        <w:rPr>
          <w:rFonts w:hint="eastAsia"/>
          <w:b/>
          <w:lang w:val="en-US" w:eastAsia="zh-CN"/>
        </w:rPr>
        <w:t>助学金院级公示</w:t>
      </w:r>
      <w:bookmarkEnd w:id="11"/>
      <w:bookmarkEnd w:id="12"/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学生处会设置各个学院院级公示的时间范围，在此大范围以内，各学院可以设置本学院的公示时间段。操作如下：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①助学金审核页面，点击页面右上角的【公示时间设置】按钮；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②设置管辖学院的助学金院级公示时间段；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这样本学院的学生就能在时间段内可以查看院级公示。</w:t>
      </w:r>
    </w:p>
    <w:p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4648200" cy="4312920"/>
            <wp:effectExtent l="0" t="0" r="0" b="11430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055" cy="2407285"/>
            <wp:effectExtent l="0" t="0" r="10795" b="12065"/>
            <wp:docPr id="3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pStyle w:val="2"/>
        <w:numPr>
          <w:ilvl w:val="0"/>
          <w:numId w:val="1"/>
        </w:numPr>
        <w:bidi w:val="0"/>
        <w:ind w:left="432" w:leftChars="0" w:hanging="432" w:firstLineChars="0"/>
        <w:rPr>
          <w:rFonts w:hint="eastAsia"/>
          <w:b/>
          <w:lang w:val="en-US" w:eastAsia="zh-CN"/>
        </w:rPr>
      </w:pPr>
      <w:bookmarkStart w:id="13" w:name="_Toc11699"/>
      <w:r>
        <w:rPr>
          <w:rFonts w:hint="eastAsia"/>
          <w:b/>
          <w:lang w:val="en-US" w:eastAsia="zh-CN"/>
        </w:rPr>
        <w:t>助学金查询</w:t>
      </w:r>
      <w:bookmarkEnd w:id="13"/>
    </w:p>
    <w:p>
      <w:pPr>
        <w:rPr>
          <w:rFonts w:hint="default"/>
          <w:b w:val="0"/>
          <w:bCs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t>该功能主要作查询助学金信息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0975" cy="2145665"/>
            <wp:effectExtent l="0" t="0" r="12065" b="3175"/>
            <wp:docPr id="2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14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bidi w:val="0"/>
        <w:ind w:left="432" w:leftChars="0" w:hanging="432" w:firstLineChars="0"/>
        <w:rPr>
          <w:rFonts w:hint="eastAsia"/>
          <w:b/>
          <w:lang w:val="en-US" w:eastAsia="zh-CN"/>
        </w:rPr>
      </w:pPr>
      <w:bookmarkStart w:id="14" w:name="_Toc21779"/>
      <w:bookmarkStart w:id="15" w:name="_Toc17910377"/>
      <w:bookmarkStart w:id="16" w:name="_Toc22100720"/>
      <w:r>
        <w:rPr>
          <w:rFonts w:hint="eastAsia"/>
          <w:b/>
          <w:lang w:val="en-US" w:eastAsia="zh-CN"/>
        </w:rPr>
        <w:t>其他功能</w:t>
      </w:r>
      <w:bookmarkEnd w:id="14"/>
      <w:bookmarkEnd w:id="15"/>
      <w:bookmarkEnd w:id="16"/>
    </w:p>
    <w:p>
      <w:pPr>
        <w:pStyle w:val="3"/>
        <w:bidi w:val="0"/>
        <w:ind w:left="575" w:leftChars="0" w:hanging="575" w:firstLineChars="0"/>
        <w:rPr>
          <w:rFonts w:hint="eastAsia"/>
          <w:lang w:val="en-US" w:eastAsia="zh-CN"/>
        </w:rPr>
      </w:pPr>
      <w:bookmarkStart w:id="17" w:name="_Toc17910380"/>
      <w:bookmarkStart w:id="18" w:name="_Toc22100721"/>
      <w:bookmarkStart w:id="19" w:name="_Toc815"/>
      <w:r>
        <w:rPr>
          <w:rFonts w:hint="eastAsia"/>
          <w:lang w:val="en-US" w:eastAsia="zh-CN"/>
        </w:rPr>
        <w:t>高级搜索</w:t>
      </w:r>
      <w:bookmarkEnd w:id="17"/>
      <w:bookmarkEnd w:id="18"/>
      <w:bookmarkEnd w:id="19"/>
    </w:p>
    <w:p>
      <w:pPr>
        <w:ind w:firstLine="420"/>
      </w:pPr>
      <w:r>
        <w:t>可选择需要关键字进行搜索</w:t>
      </w:r>
      <w:r>
        <w:rPr>
          <w:rFonts w:hint="eastAsia"/>
        </w:rPr>
        <w:t>，</w:t>
      </w:r>
      <w:r>
        <w:t>快捷筛选出需要数据</w:t>
      </w:r>
      <w:r>
        <w:rPr>
          <w:rFonts w:hint="eastAsia"/>
        </w:rPr>
        <w:t>（各界面操作一致）。点击高级搜索。</w:t>
      </w:r>
    </w:p>
    <w:p>
      <w:r>
        <w:drawing>
          <wp:inline distT="0" distB="0" distL="0" distR="0">
            <wp:extent cx="5526405" cy="1635760"/>
            <wp:effectExtent l="0" t="0" r="5715" b="1016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163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t>点击添加搜索字段</w:t>
      </w:r>
      <w:r>
        <w:rPr>
          <w:rFonts w:hint="eastAsia"/>
        </w:rPr>
        <w:t>，</w:t>
      </w:r>
      <w:r>
        <w:t>勾选搜索的关键字</w:t>
      </w:r>
      <w:r>
        <w:rPr>
          <w:rFonts w:hint="eastAsia"/>
        </w:rPr>
        <w:t>，</w:t>
      </w:r>
      <w:r>
        <w:t>保存即可</w:t>
      </w:r>
      <w:r>
        <w:rPr>
          <w:rFonts w:hint="eastAsia"/>
        </w:rPr>
        <w:t>。</w:t>
      </w:r>
    </w:p>
    <w:p>
      <w:r>
        <w:drawing>
          <wp:inline distT="0" distB="0" distL="0" distR="0">
            <wp:extent cx="5526405" cy="2192020"/>
            <wp:effectExtent l="0" t="0" r="5715" b="254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19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t>选择或输入相应关键字</w:t>
      </w:r>
      <w:r>
        <w:rPr>
          <w:rFonts w:hint="eastAsia"/>
        </w:rPr>
        <w:t>，</w:t>
      </w:r>
      <w:r>
        <w:t>点击执行高级搜索即可</w:t>
      </w:r>
      <w:r>
        <w:rPr>
          <w:rFonts w:hint="eastAsia"/>
        </w:rPr>
        <w:t>。</w:t>
      </w:r>
    </w:p>
    <w:p>
      <w:r>
        <w:drawing>
          <wp:inline distT="0" distB="0" distL="0" distR="0">
            <wp:extent cx="4190365" cy="1923415"/>
            <wp:effectExtent l="0" t="0" r="635" b="1206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90476" cy="19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bidi w:val="0"/>
        <w:ind w:left="575" w:leftChars="0" w:hanging="575" w:firstLineChars="0"/>
        <w:rPr>
          <w:rFonts w:hint="eastAsia"/>
          <w:lang w:val="en-US" w:eastAsia="zh-CN"/>
        </w:rPr>
      </w:pPr>
      <w:bookmarkStart w:id="20" w:name="_Toc32467"/>
      <w:bookmarkStart w:id="21" w:name="_Toc17910381"/>
      <w:bookmarkStart w:id="22" w:name="_Toc22100722"/>
      <w:r>
        <w:rPr>
          <w:rFonts w:hint="eastAsia"/>
          <w:lang w:val="en-US" w:eastAsia="zh-CN"/>
        </w:rPr>
        <w:t>自定义列</w:t>
      </w:r>
      <w:bookmarkEnd w:id="20"/>
      <w:bookmarkEnd w:id="21"/>
      <w:bookmarkEnd w:id="22"/>
    </w:p>
    <w:p>
      <w:pPr>
        <w:ind w:firstLine="420"/>
      </w:pPr>
      <w:r>
        <w:t>点击自定义列</w:t>
      </w:r>
      <w:r>
        <w:rPr>
          <w:rFonts w:hint="eastAsia"/>
        </w:rPr>
        <w:t>，勾选相应字段，</w:t>
      </w:r>
      <w:r>
        <w:t>使界面数据按需要展示重点关注字段</w:t>
      </w:r>
      <w:r>
        <w:rPr>
          <w:rFonts w:hint="eastAsia"/>
        </w:rPr>
        <w:t>。（各界面操作一致）。</w:t>
      </w:r>
    </w:p>
    <w:p>
      <w:pPr>
        <w:rPr>
          <w:rFonts w:hint="default"/>
          <w:b/>
          <w:lang w:val="en-US" w:eastAsia="zh-CN"/>
        </w:rPr>
      </w:pPr>
      <w:r>
        <w:drawing>
          <wp:inline distT="0" distB="0" distL="0" distR="0">
            <wp:extent cx="5526405" cy="2427605"/>
            <wp:effectExtent l="0" t="0" r="5715" b="1079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42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4EDCE6D"/>
    <w:multiLevelType w:val="multilevel"/>
    <w:tmpl w:val="14EDCE6D"/>
    <w:lvl w:ilvl="0" w:tentative="0">
      <w:start w:val="1"/>
      <w:numFmt w:val="decimal"/>
      <w:pStyle w:val="2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3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pStyle w:val="4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pStyle w:val="5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pStyle w:val="6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pStyle w:val="7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pStyle w:val="8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pStyle w:val="9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pStyle w:val="10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331294"/>
    <w:rsid w:val="019B1D11"/>
    <w:rsid w:val="05C509A1"/>
    <w:rsid w:val="08575013"/>
    <w:rsid w:val="08BA7684"/>
    <w:rsid w:val="09E75016"/>
    <w:rsid w:val="10883022"/>
    <w:rsid w:val="1225007C"/>
    <w:rsid w:val="13862EEB"/>
    <w:rsid w:val="13B063C2"/>
    <w:rsid w:val="17D76AA2"/>
    <w:rsid w:val="1DB532EC"/>
    <w:rsid w:val="26627DD3"/>
    <w:rsid w:val="2FA90A94"/>
    <w:rsid w:val="30A3652E"/>
    <w:rsid w:val="30B61884"/>
    <w:rsid w:val="354D5A72"/>
    <w:rsid w:val="36107886"/>
    <w:rsid w:val="36572002"/>
    <w:rsid w:val="372B377D"/>
    <w:rsid w:val="38D74783"/>
    <w:rsid w:val="3B0528FF"/>
    <w:rsid w:val="3B246377"/>
    <w:rsid w:val="40B83269"/>
    <w:rsid w:val="42EE1927"/>
    <w:rsid w:val="44B07884"/>
    <w:rsid w:val="4737216A"/>
    <w:rsid w:val="48C633D8"/>
    <w:rsid w:val="4A966B4A"/>
    <w:rsid w:val="4B8F2A45"/>
    <w:rsid w:val="4BB86ECE"/>
    <w:rsid w:val="4CCB1CD5"/>
    <w:rsid w:val="517468DF"/>
    <w:rsid w:val="52FD3066"/>
    <w:rsid w:val="53097038"/>
    <w:rsid w:val="53471EF6"/>
    <w:rsid w:val="56D46763"/>
    <w:rsid w:val="56D8101F"/>
    <w:rsid w:val="571C104F"/>
    <w:rsid w:val="5A1723DC"/>
    <w:rsid w:val="5D516005"/>
    <w:rsid w:val="5E2102D8"/>
    <w:rsid w:val="5E3B232C"/>
    <w:rsid w:val="5F407FE0"/>
    <w:rsid w:val="60A32C30"/>
    <w:rsid w:val="6130539D"/>
    <w:rsid w:val="624A0BE8"/>
    <w:rsid w:val="63572F58"/>
    <w:rsid w:val="65FB7AD3"/>
    <w:rsid w:val="679B5EEB"/>
    <w:rsid w:val="67AF5488"/>
    <w:rsid w:val="686F2BB5"/>
    <w:rsid w:val="69E1104D"/>
    <w:rsid w:val="6A5B4D53"/>
    <w:rsid w:val="6B0E74E0"/>
    <w:rsid w:val="6B9C1C24"/>
    <w:rsid w:val="6E6A43BB"/>
    <w:rsid w:val="6FDA4E7A"/>
    <w:rsid w:val="70680557"/>
    <w:rsid w:val="7441744D"/>
    <w:rsid w:val="76982040"/>
    <w:rsid w:val="76E81AB7"/>
    <w:rsid w:val="77CC1D69"/>
    <w:rsid w:val="7BEA03B6"/>
    <w:rsid w:val="7E5651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nhideWhenUsed="0" w:uiPriority="9" w:semiHidden="0" w:name="heading 4"/>
    <w:lsdException w:qFormat="1" w:unhideWhenUsed="0" w:uiPriority="0" w:semiHidden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spacing w:before="340" w:beforeLines="0" w:beforeAutospacing="0" w:after="330" w:afterLines="0" w:afterAutospacing="0" w:line="576" w:lineRule="auto"/>
      <w:ind w:left="432" w:hanging="432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numPr>
        <w:ilvl w:val="1"/>
        <w:numId w:val="1"/>
      </w:numPr>
      <w:spacing w:before="260" w:beforeLines="0" w:beforeAutospacing="0" w:after="260" w:afterLines="0" w:afterAutospacing="0" w:line="413" w:lineRule="auto"/>
      <w:ind w:left="575" w:hanging="575"/>
      <w:outlineLvl w:val="1"/>
    </w:pPr>
    <w:rPr>
      <w:rFonts w:ascii="Arial" w:hAnsi="Arial" w:eastAsia="黑体"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numPr>
        <w:ilvl w:val="2"/>
        <w:numId w:val="1"/>
      </w:numPr>
      <w:spacing w:before="260" w:beforeLines="0" w:beforeAutospacing="0" w:after="260" w:afterLines="0" w:afterAutospacing="0" w:line="413" w:lineRule="auto"/>
      <w:ind w:left="720" w:hanging="720"/>
      <w:outlineLvl w:val="2"/>
    </w:pPr>
    <w:rPr>
      <w:b/>
      <w:sz w:val="32"/>
    </w:rPr>
  </w:style>
  <w:style w:type="paragraph" w:styleId="5">
    <w:name w:val="heading 4"/>
    <w:basedOn w:val="1"/>
    <w:next w:val="1"/>
    <w:qFormat/>
    <w:uiPriority w:val="9"/>
    <w:pPr>
      <w:keepLines/>
      <w:numPr>
        <w:ilvl w:val="3"/>
        <w:numId w:val="1"/>
      </w:numPr>
      <w:ind w:left="864"/>
      <w:outlineLvl w:val="3"/>
    </w:pPr>
    <w:rPr>
      <w:rFonts w:ascii="Arial" w:hAnsi="Arial"/>
      <w:b/>
      <w:bCs/>
      <w:sz w:val="24"/>
      <w:szCs w:val="28"/>
    </w:rPr>
  </w:style>
  <w:style w:type="paragraph" w:styleId="6">
    <w:name w:val="heading 5"/>
    <w:basedOn w:val="2"/>
    <w:next w:val="1"/>
    <w:qFormat/>
    <w:uiPriority w:val="0"/>
    <w:pPr>
      <w:keepLines/>
      <w:widowControl/>
      <w:numPr>
        <w:ilvl w:val="4"/>
      </w:numPr>
      <w:spacing w:line="240" w:lineRule="auto"/>
      <w:ind w:left="1008" w:hanging="1008"/>
      <w:outlineLvl w:val="4"/>
    </w:pPr>
    <w:rPr>
      <w:bCs/>
      <w:sz w:val="21"/>
    </w:rPr>
  </w:style>
  <w:style w:type="paragraph" w:styleId="7">
    <w:name w:val="heading 6"/>
    <w:basedOn w:val="1"/>
    <w:next w:val="1"/>
    <w:semiHidden/>
    <w:unhideWhenUsed/>
    <w:qFormat/>
    <w:uiPriority w:val="0"/>
    <w:pPr>
      <w:keepNext/>
      <w:keepLines/>
      <w:numPr>
        <w:ilvl w:val="5"/>
        <w:numId w:val="1"/>
      </w:numPr>
      <w:spacing w:before="240" w:beforeLines="0" w:beforeAutospacing="0" w:after="64" w:afterLines="0" w:afterAutospacing="0" w:line="317" w:lineRule="auto"/>
      <w:ind w:left="1151" w:hanging="1151"/>
      <w:outlineLvl w:val="5"/>
    </w:pPr>
    <w:rPr>
      <w:rFonts w:ascii="Arial" w:hAnsi="Arial" w:eastAsia="黑体"/>
      <w:b/>
      <w:sz w:val="24"/>
    </w:rPr>
  </w:style>
  <w:style w:type="paragraph" w:styleId="8">
    <w:name w:val="heading 7"/>
    <w:basedOn w:val="1"/>
    <w:next w:val="1"/>
    <w:semiHidden/>
    <w:unhideWhenUsed/>
    <w:qFormat/>
    <w:uiPriority w:val="0"/>
    <w:pPr>
      <w:keepNext/>
      <w:keepLines/>
      <w:numPr>
        <w:ilvl w:val="6"/>
        <w:numId w:val="1"/>
      </w:numPr>
      <w:spacing w:before="240" w:beforeLines="0" w:beforeAutospacing="0" w:after="64" w:afterLines="0" w:afterAutospacing="0" w:line="317" w:lineRule="auto"/>
      <w:ind w:left="1296" w:hanging="1296"/>
      <w:outlineLvl w:val="6"/>
    </w:pPr>
    <w:rPr>
      <w:b/>
      <w:sz w:val="24"/>
    </w:rPr>
  </w:style>
  <w:style w:type="paragraph" w:styleId="9">
    <w:name w:val="heading 8"/>
    <w:basedOn w:val="1"/>
    <w:next w:val="1"/>
    <w:semiHidden/>
    <w:unhideWhenUsed/>
    <w:qFormat/>
    <w:uiPriority w:val="0"/>
    <w:pPr>
      <w:keepNext/>
      <w:keepLines/>
      <w:numPr>
        <w:ilvl w:val="7"/>
        <w:numId w:val="1"/>
      </w:numPr>
      <w:spacing w:before="240" w:beforeLines="0" w:beforeAutospacing="0" w:after="64" w:afterLines="0" w:afterAutospacing="0" w:line="317" w:lineRule="auto"/>
      <w:ind w:left="1440" w:hanging="1440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semiHidden/>
    <w:unhideWhenUsed/>
    <w:qFormat/>
    <w:uiPriority w:val="0"/>
    <w:pPr>
      <w:keepNext/>
      <w:keepLines/>
      <w:numPr>
        <w:ilvl w:val="8"/>
        <w:numId w:val="1"/>
      </w:numPr>
      <w:spacing w:before="240" w:beforeLines="0" w:beforeAutospacing="0" w:after="64" w:afterLines="0" w:afterAutospacing="0" w:line="317" w:lineRule="auto"/>
      <w:ind w:left="1583" w:hanging="1583"/>
      <w:outlineLvl w:val="8"/>
    </w:pPr>
    <w:rPr>
      <w:rFonts w:ascii="Arial" w:hAnsi="Arial" w:eastAsia="黑体"/>
      <w:sz w:val="21"/>
    </w:rPr>
  </w:style>
  <w:style w:type="character" w:default="1" w:styleId="15">
    <w:name w:val="Default Paragraph Font"/>
    <w:semiHidden/>
    <w:qFormat/>
    <w:uiPriority w:val="0"/>
  </w:style>
  <w:style w:type="table" w:default="1" w:styleId="1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1"/>
    <w:basedOn w:val="1"/>
    <w:next w:val="1"/>
    <w:qFormat/>
    <w:uiPriority w:val="0"/>
  </w:style>
  <w:style w:type="paragraph" w:styleId="12">
    <w:name w:val="toc 2"/>
    <w:basedOn w:val="1"/>
    <w:next w:val="1"/>
    <w:qFormat/>
    <w:uiPriority w:val="0"/>
    <w:pPr>
      <w:ind w:left="420" w:leftChars="200"/>
    </w:pPr>
  </w:style>
  <w:style w:type="table" w:styleId="14">
    <w:name w:val="Table Grid"/>
    <w:basedOn w:val="13"/>
    <w:qFormat/>
    <w:uiPriority w:val="0"/>
    <w:rPr>
      <w:rFonts w:ascii="Calibri" w:hAnsi="Calibri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6">
    <w:name w:val="List Paragraph1"/>
    <w:basedOn w:val="1"/>
    <w:qFormat/>
    <w:uiPriority w:val="99"/>
    <w:pPr>
      <w:ind w:firstLine="420" w:firstLineChars="200"/>
    </w:pPr>
  </w:style>
  <w:style w:type="paragraph" w:customStyle="1" w:styleId="17">
    <w:name w:val="标准文本"/>
    <w:basedOn w:val="1"/>
    <w:qFormat/>
    <w:uiPriority w:val="0"/>
    <w:pPr>
      <w:ind w:firstLine="480" w:firstLineChars="200"/>
    </w:pPr>
    <w:rPr>
      <w:rFonts w:ascii="Times New Roman" w:hAnsi="Times New Roman"/>
      <w:kern w:val="0"/>
      <w:sz w:val="24"/>
      <w:szCs w:val="20"/>
    </w:rPr>
  </w:style>
  <w:style w:type="paragraph" w:customStyle="1" w:styleId="18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19">
    <w:name w:val="WPSOffice手动目录 2"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Office_11.1.0.10938_F1E327BC-269C-435d-A152-05C5408002CA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qinge</dc:creator>
  <cp:lastModifiedBy>ZJ</cp:lastModifiedBy>
  <dcterms:modified xsi:type="dcterms:W3CDTF">2021-10-11T07:50:55Z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E72DDDEA05C1420C9CFBDC569C033D4F</vt:lpwstr>
  </property>
</Properties>
</file>